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D3" w:rsidRDefault="00CA7ED3">
      <w:pPr>
        <w:spacing w:line="600" w:lineRule="exact"/>
        <w:jc w:val="center"/>
        <w:rPr>
          <w:rFonts w:eastAsia="黑体" w:cs="宋体"/>
          <w:b/>
          <w:sz w:val="52"/>
          <w:szCs w:val="52"/>
        </w:rPr>
      </w:pPr>
    </w:p>
    <w:p w:rsidR="00CA7ED3" w:rsidRDefault="00CA7ED3">
      <w:pPr>
        <w:spacing w:line="600" w:lineRule="exact"/>
        <w:jc w:val="center"/>
        <w:rPr>
          <w:rFonts w:eastAsia="黑体" w:cs="宋体"/>
          <w:b/>
          <w:sz w:val="52"/>
          <w:szCs w:val="52"/>
        </w:rPr>
      </w:pPr>
    </w:p>
    <w:p w:rsidR="00CA7ED3" w:rsidRDefault="00CA7ED3">
      <w:pPr>
        <w:spacing w:line="600" w:lineRule="exact"/>
        <w:jc w:val="left"/>
        <w:rPr>
          <w:rFonts w:ascii="黑体" w:eastAsia="黑体" w:hAnsi="黑体" w:cs="黑体"/>
          <w:b/>
          <w:bCs/>
          <w:sz w:val="32"/>
          <w:szCs w:val="32"/>
        </w:rPr>
      </w:pPr>
    </w:p>
    <w:p w:rsidR="00CA7ED3" w:rsidRDefault="00CA7ED3">
      <w:pPr>
        <w:spacing w:line="600" w:lineRule="exact"/>
        <w:jc w:val="left"/>
        <w:rPr>
          <w:rFonts w:ascii="Arial" w:eastAsia="Symbol" w:hAnsi="Arial"/>
          <w:b/>
          <w:bCs/>
          <w:sz w:val="32"/>
          <w:szCs w:val="32"/>
        </w:rPr>
      </w:pPr>
    </w:p>
    <w:p w:rsidR="00CA7ED3" w:rsidRDefault="00CA7ED3">
      <w:pPr>
        <w:spacing w:line="600" w:lineRule="exact"/>
        <w:jc w:val="center"/>
        <w:rPr>
          <w:rFonts w:ascii="Arial" w:eastAsia="宋体" w:hAnsi="Arial"/>
          <w:b/>
          <w:bCs/>
          <w:sz w:val="32"/>
          <w:szCs w:val="32"/>
        </w:rPr>
      </w:pPr>
    </w:p>
    <w:p w:rsidR="00CA7ED3" w:rsidRDefault="00CA7ED3">
      <w:pPr>
        <w:spacing w:line="600" w:lineRule="exact"/>
        <w:jc w:val="center"/>
        <w:rPr>
          <w:rFonts w:ascii="Arial" w:eastAsia="宋体" w:hAnsi="Arial"/>
          <w:b/>
          <w:bCs/>
          <w:sz w:val="32"/>
          <w:szCs w:val="32"/>
        </w:rPr>
      </w:pPr>
    </w:p>
    <w:p w:rsidR="00CA7ED3" w:rsidRDefault="00CA7ED3">
      <w:pPr>
        <w:spacing w:line="600" w:lineRule="exact"/>
        <w:jc w:val="center"/>
        <w:rPr>
          <w:rFonts w:ascii="Arial" w:eastAsia="宋体" w:hAnsi="Arial"/>
          <w:b/>
          <w:bCs/>
          <w:sz w:val="32"/>
          <w:szCs w:val="32"/>
        </w:rPr>
      </w:pPr>
    </w:p>
    <w:p w:rsidR="00CA7ED3" w:rsidRDefault="001609BB">
      <w:pPr>
        <w:spacing w:line="600" w:lineRule="exact"/>
        <w:jc w:val="center"/>
        <w:rPr>
          <w:rFonts w:ascii="方正小标宋简体" w:eastAsia="方正小标宋简体" w:hAnsi="方正小标宋简体" w:cs="方正小标宋简体"/>
          <w:sz w:val="44"/>
          <w:szCs w:val="44"/>
          <w:u w:val="single"/>
        </w:rPr>
      </w:pPr>
      <w:r>
        <w:rPr>
          <w:rFonts w:ascii="方正小标宋简体" w:eastAsia="方正小标宋简体" w:hAnsi="方正小标宋简体" w:cs="方正小标宋简体" w:hint="eastAsia"/>
          <w:sz w:val="44"/>
          <w:szCs w:val="44"/>
        </w:rPr>
        <w:t>2024年度锡林郭勒盟农牧局</w:t>
      </w:r>
      <w:r>
        <w:rPr>
          <w:rFonts w:ascii="方正小标宋简体" w:eastAsia="方正小标宋简体" w:hAnsi="方正小标宋简体" w:cs="方正小标宋简体" w:hint="eastAsia"/>
          <w:sz w:val="44"/>
          <w:szCs w:val="44"/>
          <w:u w:val="single"/>
        </w:rPr>
        <w:t>（本级）</w:t>
      </w:r>
    </w:p>
    <w:p w:rsidR="00CA7ED3" w:rsidRDefault="001609B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预算公开</w:t>
      </w: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rPr>
          <w:rFonts w:ascii="黑体" w:eastAsia="黑体" w:hAnsi="黑体" w:cs="黑体"/>
          <w:sz w:val="32"/>
          <w:szCs w:val="32"/>
        </w:rPr>
      </w:pPr>
    </w:p>
    <w:p w:rsidR="00CA7ED3" w:rsidRDefault="001609BB">
      <w:pPr>
        <w:adjustRightInd w:val="0"/>
        <w:snapToGrid w:val="0"/>
        <w:spacing w:line="600" w:lineRule="exact"/>
        <w:jc w:val="center"/>
        <w:rPr>
          <w:rFonts w:ascii="黑体" w:eastAsia="黑体" w:hAnsi="黑体" w:cs="黑体"/>
          <w:sz w:val="32"/>
          <w:szCs w:val="32"/>
        </w:rPr>
      </w:pPr>
      <w:r>
        <w:rPr>
          <w:rFonts w:ascii="黑体" w:eastAsia="黑体" w:hAnsi="黑体" w:cs="黑体" w:hint="eastAsia"/>
          <w:sz w:val="32"/>
          <w:szCs w:val="32"/>
        </w:rPr>
        <w:t>批复时间：</w:t>
      </w:r>
      <w:r>
        <w:rPr>
          <w:rFonts w:ascii="黑体" w:eastAsia="黑体" w:hAnsi="黑体" w:cs="黑体" w:hint="eastAsia"/>
          <w:sz w:val="32"/>
          <w:szCs w:val="32"/>
          <w:u w:val="single"/>
        </w:rPr>
        <w:t>2024年2月28日</w:t>
      </w:r>
    </w:p>
    <w:p w:rsidR="00CA7ED3" w:rsidRDefault="001609BB">
      <w:pPr>
        <w:pStyle w:val="2"/>
        <w:spacing w:after="0" w:line="600" w:lineRule="exact"/>
        <w:ind w:leftChars="0" w:left="0" w:firstLine="0"/>
        <w:jc w:val="center"/>
        <w:rPr>
          <w:rFonts w:ascii="黑体" w:eastAsia="黑体" w:hAnsi="黑体" w:cs="黑体" w:hint="default"/>
        </w:rPr>
      </w:pPr>
      <w:r>
        <w:rPr>
          <w:rFonts w:ascii="黑体" w:eastAsia="黑体" w:hAnsi="黑体" w:cs="黑体"/>
          <w:sz w:val="32"/>
          <w:szCs w:val="32"/>
        </w:rPr>
        <w:t>公开时间：</w:t>
      </w:r>
      <w:r>
        <w:rPr>
          <w:rFonts w:ascii="黑体" w:eastAsia="黑体" w:hAnsi="黑体" w:cs="黑体"/>
          <w:sz w:val="32"/>
          <w:szCs w:val="32"/>
          <w:u w:val="single"/>
        </w:rPr>
        <w:t>2024年3月15日</w:t>
      </w: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1609BB">
      <w:pPr>
        <w:pStyle w:val="20"/>
        <w:tabs>
          <w:tab w:val="left" w:pos="4533"/>
        </w:tabs>
        <w:spacing w:before="0" w:after="0" w:line="600" w:lineRule="exact"/>
        <w:ind w:firstLineChars="0" w:firstLine="0"/>
        <w:jc w:val="center"/>
        <w:rPr>
          <w:sz w:val="44"/>
          <w:szCs w:val="44"/>
        </w:rPr>
      </w:pPr>
      <w:r>
        <w:rPr>
          <w:sz w:val="44"/>
          <w:szCs w:val="44"/>
        </w:rPr>
        <w:t>目</w:t>
      </w:r>
      <w:r>
        <w:rPr>
          <w:rFonts w:eastAsia="宋体" w:hint="eastAsia"/>
          <w:sz w:val="44"/>
          <w:szCs w:val="44"/>
        </w:rPr>
        <w:t xml:space="preserve">  </w:t>
      </w:r>
      <w:r>
        <w:rPr>
          <w:rFonts w:hint="eastAsia"/>
          <w:sz w:val="44"/>
          <w:szCs w:val="44"/>
        </w:rPr>
        <w:t xml:space="preserve">  </w:t>
      </w:r>
      <w:r>
        <w:rPr>
          <w:sz w:val="44"/>
          <w:szCs w:val="44"/>
        </w:rPr>
        <w:t>录</w:t>
      </w:r>
    </w:p>
    <w:p w:rsidR="00CA7ED3" w:rsidRDefault="00CA7ED3"/>
    <w:p w:rsidR="00CA7ED3" w:rsidRDefault="001609BB">
      <w:pPr>
        <w:pStyle w:val="a7"/>
        <w:spacing w:after="0" w:line="600" w:lineRule="exact"/>
        <w:rPr>
          <w:rFonts w:ascii="黑体" w:eastAsia="黑体" w:hAnsi="黑体" w:cs="黑体"/>
          <w:sz w:val="32"/>
          <w:szCs w:val="32"/>
        </w:rPr>
      </w:pPr>
      <w:r>
        <w:rPr>
          <w:rFonts w:ascii="黑体" w:eastAsia="黑体" w:hAnsi="黑体" w:cs="黑体" w:hint="eastAsia"/>
          <w:sz w:val="32"/>
          <w:szCs w:val="32"/>
        </w:rPr>
        <w:t>第一部分 单位概况</w:t>
      </w:r>
    </w:p>
    <w:p w:rsidR="00CA7ED3" w:rsidRDefault="001609BB">
      <w:pPr>
        <w:pStyle w:val="a7"/>
        <w:spacing w:after="0" w:line="600" w:lineRule="exact"/>
        <w:rPr>
          <w:rFonts w:ascii="仿宋" w:eastAsia="仿宋" w:hAnsi="仿宋" w:cs="仿宋"/>
          <w:sz w:val="32"/>
          <w:szCs w:val="32"/>
          <w:highlight w:val="yellow"/>
        </w:rPr>
      </w:pPr>
      <w:r>
        <w:rPr>
          <w:rFonts w:ascii="仿宋" w:eastAsia="仿宋" w:hAnsi="仿宋" w:cs="仿宋" w:hint="eastAsia"/>
          <w:w w:val="95"/>
          <w:sz w:val="32"/>
          <w:szCs w:val="32"/>
        </w:rPr>
        <w:t>一、主要职能、职责</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二、单位机构设置及预算单位构成情况</w:t>
      </w:r>
    </w:p>
    <w:p w:rsidR="00CA7ED3" w:rsidRDefault="001609BB">
      <w:pPr>
        <w:pStyle w:val="a7"/>
        <w:spacing w:after="0" w:line="600" w:lineRule="exact"/>
        <w:rPr>
          <w:rFonts w:ascii="黑体" w:eastAsia="黑体" w:hAnsi="黑体" w:cs="黑体"/>
          <w:sz w:val="32"/>
          <w:szCs w:val="32"/>
        </w:rPr>
      </w:pPr>
      <w:r>
        <w:rPr>
          <w:rFonts w:ascii="仿宋" w:eastAsia="仿宋" w:hAnsi="仿宋" w:cs="仿宋" w:hint="eastAsia"/>
          <w:sz w:val="32"/>
          <w:szCs w:val="32"/>
        </w:rPr>
        <w:t>三2024年度单位主要工作任务及目标</w:t>
      </w:r>
    </w:p>
    <w:p w:rsidR="00CA7ED3" w:rsidRDefault="001609BB">
      <w:pPr>
        <w:pStyle w:val="a7"/>
        <w:spacing w:after="0" w:line="600" w:lineRule="exact"/>
        <w:rPr>
          <w:rFonts w:ascii="黑体" w:eastAsia="黑体" w:hAnsi="黑体" w:cs="黑体"/>
          <w:sz w:val="32"/>
          <w:szCs w:val="32"/>
        </w:rPr>
      </w:pPr>
      <w:r>
        <w:rPr>
          <w:rFonts w:ascii="黑体" w:eastAsia="黑体" w:hAnsi="黑体" w:cs="黑体" w:hint="eastAsia"/>
          <w:sz w:val="32"/>
          <w:szCs w:val="32"/>
        </w:rPr>
        <w:t>第二部分2024年度单位预算情况说明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一、收支预算总体情况说明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二、收入预算情况说明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三、支出预算情况说明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四、财政拨款收支预算总体情况说明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五、一般公共预算支出预算情况说明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六、一般公共预算基本支出预算情况说明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七、一般公共预算“三公”经费支出预算情况说明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八、政府性基金预算支出预算情况说明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十、项目支出预算情况说明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十一、一般公共预算机关运行经费支出预算情况说明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十二、政府采购支出预算情况说明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十三、国有资产占用情况说明</w:t>
      </w:r>
    </w:p>
    <w:p w:rsidR="00CA7ED3" w:rsidRDefault="001609BB">
      <w:pPr>
        <w:widowControl/>
        <w:spacing w:line="600" w:lineRule="exact"/>
        <w:jc w:val="left"/>
        <w:rPr>
          <w:rFonts w:ascii="仿宋" w:eastAsia="仿宋" w:hAnsi="仿宋" w:cs="仿宋"/>
          <w:sz w:val="32"/>
          <w:szCs w:val="32"/>
        </w:rPr>
      </w:pPr>
      <w:r>
        <w:rPr>
          <w:rFonts w:ascii="仿宋" w:eastAsia="仿宋" w:hAnsi="仿宋" w:cs="仿宋" w:hint="eastAsia"/>
          <w:sz w:val="32"/>
          <w:szCs w:val="32"/>
        </w:rPr>
        <w:t xml:space="preserve">十四、项目绩效目标情况说明 </w:t>
      </w:r>
    </w:p>
    <w:p w:rsidR="00CA7ED3" w:rsidRDefault="001609BB">
      <w:pPr>
        <w:pStyle w:val="a7"/>
        <w:spacing w:after="0" w:line="600" w:lineRule="exact"/>
        <w:rPr>
          <w:rFonts w:ascii="黑体" w:eastAsia="黑体" w:hAnsi="黑体" w:cs="黑体"/>
          <w:sz w:val="32"/>
          <w:szCs w:val="32"/>
        </w:rPr>
      </w:pPr>
      <w:r>
        <w:rPr>
          <w:rFonts w:ascii="黑体" w:eastAsia="黑体" w:hAnsi="黑体" w:cs="黑体" w:hint="eastAsia"/>
          <w:sz w:val="32"/>
          <w:szCs w:val="32"/>
        </w:rPr>
        <w:t>第三部分 名词解释</w:t>
      </w:r>
    </w:p>
    <w:p w:rsidR="00CA7ED3" w:rsidRDefault="001609BB">
      <w:pPr>
        <w:pStyle w:val="a7"/>
        <w:spacing w:after="0" w:line="600" w:lineRule="exact"/>
        <w:rPr>
          <w:rFonts w:ascii="黑体" w:eastAsia="黑体" w:hAnsi="黑体" w:cs="黑体"/>
          <w:sz w:val="32"/>
          <w:szCs w:val="32"/>
        </w:rPr>
      </w:pPr>
      <w:r>
        <w:rPr>
          <w:rFonts w:ascii="黑体" w:eastAsia="黑体" w:hAnsi="黑体" w:cs="黑体" w:hint="eastAsia"/>
          <w:sz w:val="32"/>
          <w:szCs w:val="32"/>
        </w:rPr>
        <w:t>第四部分 预算公开联系方式及信息反馈渠道</w:t>
      </w:r>
    </w:p>
    <w:p w:rsidR="00CA7ED3" w:rsidRDefault="001609BB">
      <w:pPr>
        <w:pStyle w:val="a7"/>
        <w:spacing w:after="0" w:line="600" w:lineRule="exact"/>
        <w:rPr>
          <w:rFonts w:ascii="黑体" w:eastAsia="黑体" w:hAnsi="黑体" w:cs="黑体"/>
          <w:sz w:val="32"/>
          <w:szCs w:val="32"/>
        </w:rPr>
      </w:pPr>
      <w:r>
        <w:rPr>
          <w:rFonts w:ascii="黑体" w:eastAsia="黑体" w:hAnsi="黑体" w:cs="黑体" w:hint="eastAsia"/>
          <w:sz w:val="32"/>
          <w:szCs w:val="32"/>
        </w:rPr>
        <w:lastRenderedPageBreak/>
        <w:t>第五部分 2024年度单位预算表</w:t>
      </w:r>
    </w:p>
    <w:p w:rsidR="00CA7ED3" w:rsidRDefault="001609BB">
      <w:pPr>
        <w:pStyle w:val="a7"/>
        <w:numPr>
          <w:ilvl w:val="0"/>
          <w:numId w:val="1"/>
        </w:numPr>
        <w:spacing w:after="0" w:line="600" w:lineRule="exact"/>
        <w:rPr>
          <w:rFonts w:ascii="仿宋" w:eastAsia="仿宋" w:hAnsi="仿宋" w:cs="仿宋"/>
          <w:sz w:val="32"/>
          <w:szCs w:val="32"/>
        </w:rPr>
      </w:pPr>
      <w:r>
        <w:rPr>
          <w:rFonts w:ascii="仿宋" w:eastAsia="仿宋" w:hAnsi="仿宋" w:cs="仿宋" w:hint="eastAsia"/>
          <w:sz w:val="32"/>
          <w:szCs w:val="32"/>
        </w:rPr>
        <w:t>收支总表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二、收入总表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三、支出总表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四、财政拨款收支总表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五、一般公共预算支出表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六、一般公共预算基本支出表</w:t>
      </w:r>
    </w:p>
    <w:p w:rsidR="00CA7ED3" w:rsidRDefault="001609BB">
      <w:pPr>
        <w:pStyle w:val="a7"/>
        <w:spacing w:after="0" w:line="600" w:lineRule="exact"/>
        <w:rPr>
          <w:rFonts w:ascii="仿宋" w:eastAsia="仿宋" w:hAnsi="仿宋" w:cs="仿宋"/>
          <w:spacing w:val="-16"/>
          <w:w w:val="95"/>
          <w:sz w:val="32"/>
          <w:szCs w:val="32"/>
        </w:rPr>
      </w:pPr>
      <w:r>
        <w:rPr>
          <w:rFonts w:ascii="仿宋" w:eastAsia="仿宋" w:hAnsi="仿宋" w:cs="仿宋" w:hint="eastAsia"/>
          <w:spacing w:val="-17"/>
          <w:w w:val="95"/>
          <w:sz w:val="32"/>
          <w:szCs w:val="32"/>
        </w:rPr>
        <w:t>七、一般公共预算</w:t>
      </w:r>
      <w:r>
        <w:rPr>
          <w:rFonts w:ascii="仿宋" w:eastAsia="仿宋" w:hAnsi="仿宋" w:cs="仿宋" w:hint="eastAsia"/>
          <w:spacing w:val="-8"/>
          <w:w w:val="95"/>
          <w:sz w:val="32"/>
          <w:szCs w:val="32"/>
        </w:rPr>
        <w:t>“</w:t>
      </w:r>
      <w:r>
        <w:rPr>
          <w:rFonts w:ascii="仿宋" w:eastAsia="仿宋" w:hAnsi="仿宋" w:cs="仿宋" w:hint="eastAsia"/>
          <w:spacing w:val="-15"/>
          <w:w w:val="95"/>
          <w:sz w:val="32"/>
          <w:szCs w:val="32"/>
        </w:rPr>
        <w:t>三公</w:t>
      </w:r>
      <w:r>
        <w:rPr>
          <w:rFonts w:ascii="仿宋" w:eastAsia="仿宋" w:hAnsi="仿宋" w:cs="仿宋" w:hint="eastAsia"/>
          <w:spacing w:val="-10"/>
          <w:w w:val="95"/>
          <w:sz w:val="32"/>
          <w:szCs w:val="32"/>
        </w:rPr>
        <w:t>”</w:t>
      </w:r>
      <w:r>
        <w:rPr>
          <w:rFonts w:ascii="仿宋" w:eastAsia="仿宋" w:hAnsi="仿宋" w:cs="仿宋" w:hint="eastAsia"/>
          <w:spacing w:val="-16"/>
          <w:w w:val="95"/>
          <w:sz w:val="32"/>
          <w:szCs w:val="32"/>
        </w:rPr>
        <w:t>经费支出表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pacing w:val="-16"/>
          <w:w w:val="95"/>
          <w:sz w:val="32"/>
          <w:szCs w:val="32"/>
        </w:rPr>
        <w:t>八、政府性基金预算支出表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十、项目支出表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十一、项目绩效目标表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十二、政府采购预算表</w:t>
      </w:r>
    </w:p>
    <w:p w:rsidR="00CA7ED3" w:rsidRDefault="00CA7ED3">
      <w:pPr>
        <w:pStyle w:val="2"/>
        <w:spacing w:after="0" w:line="600" w:lineRule="exact"/>
        <w:rPr>
          <w:rFonts w:hint="default"/>
        </w:rPr>
        <w:sectPr w:rsidR="00CA7ED3">
          <w:headerReference w:type="default" r:id="rId8"/>
          <w:footerReference w:type="default" r:id="rId9"/>
          <w:pgSz w:w="11910" w:h="16840"/>
          <w:pgMar w:top="1582" w:right="1680" w:bottom="278" w:left="1640" w:header="720" w:footer="720" w:gutter="0"/>
          <w:pgNumType w:fmt="numberInDash"/>
          <w:cols w:space="0"/>
        </w:sectPr>
      </w:pPr>
    </w:p>
    <w:p w:rsidR="00CA7ED3" w:rsidRDefault="001609BB">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lastRenderedPageBreak/>
        <w:t>第一部分  单位概况</w:t>
      </w:r>
    </w:p>
    <w:p w:rsidR="00CA7ED3" w:rsidRDefault="00CA7ED3">
      <w:pPr>
        <w:spacing w:line="600" w:lineRule="exact"/>
        <w:rPr>
          <w:rFonts w:ascii="方正小标宋简体" w:eastAsia="方正小标宋简体" w:hAnsi="方正小标宋简体" w:cs="方正小标宋简体"/>
          <w:sz w:val="36"/>
          <w:szCs w:val="36"/>
        </w:rPr>
      </w:pPr>
    </w:p>
    <w:p w:rsidR="00CA7ED3" w:rsidRDefault="001609BB">
      <w:pPr>
        <w:numPr>
          <w:ilvl w:val="0"/>
          <w:numId w:val="2"/>
        </w:numPr>
        <w:spacing w:line="600" w:lineRule="exact"/>
        <w:ind w:leftChars="8" w:left="17" w:firstLineChars="195" w:firstLine="624"/>
        <w:outlineLvl w:val="0"/>
        <w:rPr>
          <w:rFonts w:eastAsia="黑体" w:cs="黑体"/>
          <w:sz w:val="32"/>
          <w:szCs w:val="36"/>
        </w:rPr>
      </w:pPr>
      <w:r>
        <w:rPr>
          <w:rFonts w:eastAsia="黑体" w:cs="黑体" w:hint="eastAsia"/>
          <w:sz w:val="32"/>
          <w:szCs w:val="36"/>
        </w:rPr>
        <w:t>主要职能职责</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(一)贯彻落实国家、自治区有关农牧业方面的法律法规政策，统筹研究和组织实施全盟“三农三牧”经济社会发展规划。健全农牧业综合执法体系。</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(二)统筹实施乡村振兴战略，拟订农村牧区社会事业发展规划。承担农村牧区社会事业发展方面的调查研究。参与相关政策的制定, 统筹推动农村牧区社会事业发展、公共服务体系建设、基础设施建设和乡村牧区治理。牵头协调指导农村牧区人居环境和生产环境的改善。指导农村牧区精神文明、优秀农耕文化、游牧文化和草原文化建设。</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(三)统筹推进农村牧区经济体制改革，研究提出深化全盟农村牧区经济体制改革和基本经营制度的政策建议, 指导农牧民承包地、宅基地管理有关工作, 监督耕地使用权流转，指导承包纠纷仲裁工作。指导农村牧区集体经济组织发展、集体产权制度改革和集体资产管理工作。指导农牧民合作经济组织、农牧业社会化服务体系、新型农牧业经营主体建设与发展。监督减轻农牧民负担，指导农牧民筹资筹劳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(四)负责拟订农牧业产业化经营的政策、规划。指导农村牧区特色产业、农畜产品加工业、休闲农牧业发展和产业化服务体系建设。指导农村牧区产业扶贫工作。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（五)研究拟订大宗农畜产品市场体系建设与发展规划。培育、保护农牧业品牌。监测分析农牧业和农村牧区经济运行，开展农牧业和</w:t>
      </w:r>
      <w:r>
        <w:rPr>
          <w:rFonts w:ascii="仿宋" w:eastAsia="仿宋" w:hAnsi="仿宋" w:cs="仿宋" w:hint="eastAsia"/>
          <w:sz w:val="32"/>
          <w:szCs w:val="32"/>
        </w:rPr>
        <w:lastRenderedPageBreak/>
        <w:t>农村牧区经济信息统计和发布工作。指导农牧业和农村牧区信息化有关工作。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负责畜牧业、种植业、渔业、农垦、农牧业机械化等各产业的指导、服务和监督管理。组织落实促进肉类、粮食、奶业、饲草饲料和水产品等主要农畜产品生产发展的相关政策措施。组织构建现代农牧业产业体系、生产体系和经营体系。引导农牧业结构调整、优化布局。指导农牧业标准化、规模化生产，推进优质高效绿色安全农牧业发展。</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(七)负责农畜产品质量安全监督管理,组织开展农畜产品质量安全监测和风险评估，发布有关农畜产品质量安全状况信息。承担农畜产品质量安全标准化工作。指导全盟农牧业检验检测体系建设, 组织指导农畜产品质量安全追溯体系建设、无公害农畜产品、绿色产品、有机农牧业发展、地理标志农畜产品相关工作。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负责农牧业资源保护和可持续利用工作。指导农牧业用地、渔业水域以及农牧业生物物种资源、水生野生动植物的保护与管理。负责耕地及永久基本农田质量保护工作，拟订耕地及基本农田质量保护措施,依法管理耕地质量、保护和清洁生产。指导设施农牧业、生态循环和节水农牧业、农村牧区可再生能源综合开发利用及农牧业生物质产业发展。</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九)负责有关农牧业生产资料和投入品的监督管理，组织落实有关农牧业生产资料和投入品国家标准，依法开展农作物种子的生产经营许可及监督管理。负责饲草饲料、兽药产品质量安全管理工作。组织开展农药、兽药残留检测。负责对农牧业机械产品质量的监督管</w:t>
      </w:r>
      <w:r>
        <w:rPr>
          <w:rFonts w:ascii="仿宋" w:eastAsia="仿宋" w:hAnsi="仿宋" w:cs="仿宋" w:hint="eastAsia"/>
          <w:sz w:val="32"/>
          <w:szCs w:val="32"/>
        </w:rPr>
        <w:lastRenderedPageBreak/>
        <w:t>理。</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（十）负责农作物、畜禽和水生生物疫病的防治, 拟订动植物防疫和检疫的地方政策。指导动植物防疫和检疫体系建设, 组织和监督全盟动植物防疫检疫工作, 负责突发动物疫情应急处置工作。承担动植物有害生物普查和外来生物安全的管理工作。负责兽医队伍、兽药和屠宰行业管理工作。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（十一)按照管行业必须管安全、管业务必须管安全、管生产经营必须管安全的要求，履行安全生产责任制规定的职责。</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(十二)负责农牧业行业防灾减灾工作。监测、发布农牧业灾情,组织种子、农药、化肥、兽药、饲草饲料等救灾物资的储备和调拨, 提出生产救灾资金的安排使用建议, 指导紧急救灾和灾后恢复生产。</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(十三)负责农牧业投资管理。提出扶持农牧业农村牧区发展的财政政策, 以及农牧业农村牧区投融资体制机制改革建议。组织编制中央、自治区、盟级财政安排的农牧业农村牧区投资项目建设规划。组织拟订产业扶贫、农田水利、农田整治、农牧业综合开发计划规划, 编报部门预算。按照规定权限,审核全盟规划内和年度计划规模内的农牧业农村牧区投资项目,负责农牧业投资项目的资金安排和监督管理。</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四)负责拟订全盟农牧业科研、技术推广的规划和有关政策，指导农牧业科技成果转化和技术推广，推动农牧业科技体制改革创新和产学研协作体系建设。负责农牧业转基因生物安全监管。开展农牧业新品种保护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（十五）指导农牧业和农村牧区人才工作。组织指导农村牧区、龙头企业职业技能教育和开发工作,负责新型职业农牧民、农牧业科技</w:t>
      </w:r>
      <w:r>
        <w:rPr>
          <w:rFonts w:ascii="仿宋" w:eastAsia="仿宋" w:hAnsi="仿宋" w:cs="仿宋" w:hint="eastAsia"/>
          <w:sz w:val="32"/>
          <w:szCs w:val="32"/>
        </w:rPr>
        <w:lastRenderedPageBreak/>
        <w:t>人才培养和农村牧区实用人才培训工作。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(十六)牵头开展农牧业对外合作工作。组织开展农牧业地区间经济技术交流合作, 参与有关农牧业援外项目。</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（十七）完成盟委、行署交办的其他任务。</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二、单位机构设置及预算单位构成情况</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根据单位职责分工，本单位内设机构包括办公室、机关党委、人事科、计划财务科、发展规划科、政策法规科、畜牧科、种植业管理科、农村牧区社会事业促进科、科技教育科、农牧业机械化管理科、农牧场管理科、农牧业综合开发科、饲草饲料科、农畜产品质量安全监管科、离退休人员工作科、乡村牧区产业发展科、农村牧区合作经济指导科、</w:t>
      </w:r>
      <w:r>
        <w:rPr>
          <w:rFonts w:ascii="仿宋" w:eastAsia="仿宋" w:hAnsi="仿宋" w:cs="仿宋" w:hint="eastAsia"/>
          <w:sz w:val="32"/>
          <w:szCs w:val="32"/>
        </w:rPr>
        <w:tab/>
        <w:t>市场与信息化科、兽医科、种业管理科、秘书科。本单位无下属单位。</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2．从预算单位构成看，纳入本单位2024年部门汇总预算编制范围的预算单位共计1家，具体包括：1部门本级。</w:t>
      </w:r>
    </w:p>
    <w:p w:rsidR="00CA7ED3" w:rsidRDefault="001609BB">
      <w:pPr>
        <w:tabs>
          <w:tab w:val="left" w:pos="3532"/>
        </w:tabs>
        <w:autoSpaceDE w:val="0"/>
        <w:autoSpaceDN w:val="0"/>
        <w:adjustRightInd w:val="0"/>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单位情况表</w:t>
      </w:r>
    </w:p>
    <w:tbl>
      <w:tblPr>
        <w:tblpPr w:leftFromText="180" w:rightFromText="180" w:vertAnchor="text" w:horzAnchor="page" w:tblpX="1745" w:tblpY="190"/>
        <w:tblOverlap w:val="never"/>
        <w:tblW w:w="9347" w:type="dxa"/>
        <w:tblLayout w:type="fixed"/>
        <w:tblLook w:val="04A0" w:firstRow="1" w:lastRow="0" w:firstColumn="1" w:lastColumn="0" w:noHBand="0" w:noVBand="1"/>
      </w:tblPr>
      <w:tblGrid>
        <w:gridCol w:w="876"/>
        <w:gridCol w:w="4043"/>
        <w:gridCol w:w="4428"/>
      </w:tblGrid>
      <w:tr w:rsidR="00CA7ED3">
        <w:trPr>
          <w:trHeight w:val="595"/>
        </w:trPr>
        <w:tc>
          <w:tcPr>
            <w:tcW w:w="876" w:type="dxa"/>
            <w:tcBorders>
              <w:top w:val="single" w:sz="4" w:space="0" w:color="auto"/>
              <w:left w:val="single" w:sz="4" w:space="0" w:color="auto"/>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序号</w:t>
            </w:r>
          </w:p>
        </w:tc>
        <w:tc>
          <w:tcPr>
            <w:tcW w:w="4043" w:type="dxa"/>
            <w:tcBorders>
              <w:top w:val="single" w:sz="4" w:space="0" w:color="auto"/>
              <w:left w:val="nil"/>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单位名称</w:t>
            </w:r>
          </w:p>
        </w:tc>
        <w:tc>
          <w:tcPr>
            <w:tcW w:w="4428" w:type="dxa"/>
            <w:tcBorders>
              <w:top w:val="single" w:sz="4" w:space="0" w:color="auto"/>
              <w:left w:val="nil"/>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单位性质</w:t>
            </w:r>
          </w:p>
        </w:tc>
      </w:tr>
      <w:tr w:rsidR="00CA7ED3">
        <w:trPr>
          <w:trHeight w:val="364"/>
        </w:trPr>
        <w:tc>
          <w:tcPr>
            <w:tcW w:w="876" w:type="dxa"/>
            <w:tcBorders>
              <w:top w:val="nil"/>
              <w:left w:val="single" w:sz="4" w:space="0" w:color="auto"/>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1</w:t>
            </w:r>
          </w:p>
        </w:tc>
        <w:tc>
          <w:tcPr>
            <w:tcW w:w="4043" w:type="dxa"/>
            <w:tcBorders>
              <w:top w:val="nil"/>
              <w:left w:val="nil"/>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锡林郭勒盟农牧局（本级）</w:t>
            </w:r>
          </w:p>
        </w:tc>
        <w:tc>
          <w:tcPr>
            <w:tcW w:w="4428" w:type="dxa"/>
            <w:tcBorders>
              <w:top w:val="nil"/>
              <w:left w:val="nil"/>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财政拨款的行政单位</w:t>
            </w:r>
          </w:p>
        </w:tc>
      </w:tr>
    </w:tbl>
    <w:p w:rsidR="00CA7ED3" w:rsidRDefault="00CA7ED3">
      <w:pPr>
        <w:spacing w:line="600" w:lineRule="exact"/>
        <w:rPr>
          <w:rFonts w:eastAsia="仿宋_GB2312" w:cstheme="minorBidi"/>
          <w:sz w:val="32"/>
          <w:szCs w:val="32"/>
        </w:rPr>
      </w:pPr>
    </w:p>
    <w:p w:rsidR="00CA7ED3" w:rsidRDefault="001609BB">
      <w:pPr>
        <w:spacing w:line="600" w:lineRule="exact"/>
        <w:ind w:firstLineChars="200" w:firstLine="640"/>
        <w:rPr>
          <w:rFonts w:eastAsia="黑体" w:cs="黑体"/>
          <w:sz w:val="32"/>
          <w:szCs w:val="36"/>
        </w:rPr>
      </w:pPr>
      <w:r>
        <w:rPr>
          <w:rFonts w:eastAsia="黑体" w:cs="黑体" w:hint="eastAsia"/>
          <w:sz w:val="32"/>
          <w:szCs w:val="36"/>
        </w:rPr>
        <w:t>三、</w:t>
      </w:r>
      <w:r>
        <w:rPr>
          <w:rFonts w:eastAsia="黑体" w:cs="黑体" w:hint="eastAsia"/>
          <w:sz w:val="32"/>
          <w:szCs w:val="36"/>
        </w:rPr>
        <w:t>2024</w:t>
      </w:r>
      <w:r>
        <w:rPr>
          <w:rFonts w:eastAsia="黑体" w:cs="黑体" w:hint="eastAsia"/>
          <w:sz w:val="32"/>
          <w:szCs w:val="36"/>
        </w:rPr>
        <w:t>年单位主要工作任务及目标</w:t>
      </w:r>
    </w:p>
    <w:p w:rsidR="00CA7ED3" w:rsidRDefault="001609BB">
      <w:pPr>
        <w:pBdr>
          <w:bottom w:val="single" w:sz="4" w:space="31" w:color="FFFFFF"/>
        </w:pBdr>
        <w:adjustRightInd w:val="0"/>
        <w:spacing w:line="6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2024年，盟农牧局将继续以习近平总书记对内蒙古的重要指示精神为指导</w:t>
      </w:r>
      <w:r>
        <w:rPr>
          <w:rFonts w:ascii="仿宋" w:eastAsia="仿宋" w:hAnsi="仿宋" w:cs="仿宋" w:hint="eastAsia"/>
          <w:sz w:val="32"/>
          <w:szCs w:val="40"/>
        </w:rPr>
        <w:t>，</w:t>
      </w:r>
      <w:r>
        <w:rPr>
          <w:rFonts w:ascii="仿宋" w:eastAsia="仿宋" w:hAnsi="仿宋" w:cs="仿宋" w:hint="eastAsia"/>
          <w:kern w:val="0"/>
          <w:sz w:val="32"/>
          <w:szCs w:val="32"/>
        </w:rPr>
        <w:t>聚焦建设国家重要绿色农畜产品生产基地，以“扩大数量、提高质量、增加产量”为主攻方向，种植业以高标准农田和设施种植</w:t>
      </w:r>
      <w:r>
        <w:rPr>
          <w:rFonts w:ascii="仿宋" w:eastAsia="仿宋" w:hAnsi="仿宋" w:cs="仿宋" w:hint="eastAsia"/>
          <w:kern w:val="0"/>
          <w:sz w:val="32"/>
          <w:szCs w:val="32"/>
        </w:rPr>
        <w:lastRenderedPageBreak/>
        <w:t>业为抓手提高粮食综合生产能力，畜牧业以种草、增草、开发利用草为抓手推动舍饲圈养，解决草原过牧问题，实现传统农牧业转型升级。</w:t>
      </w:r>
    </w:p>
    <w:p w:rsidR="00CA7ED3" w:rsidRDefault="001609BB">
      <w:pPr>
        <w:pBdr>
          <w:bottom w:val="single" w:sz="4" w:space="31" w:color="FFFFFF"/>
        </w:pBdr>
        <w:adjustRightInd w:val="0"/>
        <w:spacing w:line="660" w:lineRule="exact"/>
        <w:ind w:firstLineChars="200" w:firstLine="643"/>
        <w:rPr>
          <w:rFonts w:ascii="仿宋" w:eastAsia="仿宋" w:hAnsi="仿宋" w:cs="仿宋"/>
          <w:sz w:val="32"/>
          <w:szCs w:val="32"/>
        </w:rPr>
      </w:pPr>
      <w:r>
        <w:rPr>
          <w:rFonts w:ascii="楷体" w:eastAsia="楷体" w:hAnsi="楷体" w:cs="楷体" w:hint="eastAsia"/>
          <w:b/>
          <w:bCs/>
          <w:sz w:val="32"/>
          <w:szCs w:val="32"/>
        </w:rPr>
        <w:t>（一）优化产业布局。</w:t>
      </w:r>
      <w:r>
        <w:rPr>
          <w:rFonts w:ascii="仿宋" w:eastAsia="仿宋" w:hAnsi="仿宋" w:cs="仿宋" w:hint="eastAsia"/>
          <w:sz w:val="32"/>
          <w:szCs w:val="32"/>
        </w:rPr>
        <w:t>聚焦“一区一带一集群两基地”建设，做强做大肉羊、肉牛两大主导产业，做精地方特色乳制品和马、骆驼等特色畜牧业。重点在中北部和西部地区建设“锡林郭勒羊中国特色农产品优势区”，在浑善达克沙地、半农半牧区、主要水系流域建设以优质西门塔尔牛、华西牛为主、安格斯牛为辅的优质良种肉牛产业带，在锡林浩特市、阿旗、东苏旗、西乌旗、东乌旗、蓝旗、白旗、黄旗建设地方特色乳制品产业集群，在锡市、阿旗、东乌旗、西乌旗、东苏旗打造现代马产业基地，在西苏旗、东苏旗和二连浩特市打造驼产业基地。</w:t>
      </w:r>
    </w:p>
    <w:p w:rsidR="00CA7ED3" w:rsidRDefault="001609BB">
      <w:pPr>
        <w:pBdr>
          <w:bottom w:val="single" w:sz="4" w:space="31" w:color="FFFFFF"/>
        </w:pBdr>
        <w:adjustRightInd w:val="0"/>
        <w:spacing w:line="660" w:lineRule="exact"/>
        <w:ind w:firstLineChars="200" w:firstLine="643"/>
        <w:rPr>
          <w:rFonts w:ascii="仿宋" w:eastAsia="仿宋" w:hAnsi="仿宋" w:cs="仿宋"/>
          <w:sz w:val="32"/>
          <w:szCs w:val="32"/>
        </w:rPr>
      </w:pPr>
      <w:r>
        <w:rPr>
          <w:rFonts w:ascii="楷体" w:eastAsia="楷体" w:hAnsi="楷体" w:cs="楷体" w:hint="eastAsia"/>
          <w:b/>
          <w:bCs/>
          <w:sz w:val="32"/>
          <w:szCs w:val="32"/>
        </w:rPr>
        <w:t>（二）转变生产经营方式。</w:t>
      </w:r>
      <w:r>
        <w:rPr>
          <w:rFonts w:ascii="仿宋" w:eastAsia="仿宋" w:hAnsi="仿宋" w:cs="仿宋" w:hint="eastAsia"/>
          <w:sz w:val="32"/>
          <w:szCs w:val="32"/>
        </w:rPr>
        <w:t>草畜平衡区严格执行草畜平衡和禁休牧制度，推行“放牧+补饲”饲养方式，发展适度规模设施畜牧业；浑善达克半流动沙地和人均草场不足300亩地区推行舍饲半舍饲、轻度放牧饲养方式，引导牧户少养精养优养。超载牲畜主要以牛为主，有条件的牧户进行舍饲圈养，没有条件的以嘎查村为单位建立养殖小区，逐步推行集中饲养；半农半牧区和禁牧区（浑善达克流动沙地）推行舍饲圈养饲养模式，发展规模化设施畜牧业。结合实际，以嘎查村为单位，因地制宜建立集中养殖小区，有条件的农牧户自行进行舍饲圈养。2024年，全盟“放牧+补饲”肉牛稳定在195万头、舍饲圈养肉牛达到25万头；天然放牧羊存栏稳定在1030万只、舍饲育肥羊达到</w:t>
      </w:r>
      <w:r>
        <w:rPr>
          <w:rFonts w:ascii="仿宋" w:eastAsia="仿宋" w:hAnsi="仿宋" w:cs="仿宋" w:hint="eastAsia"/>
          <w:sz w:val="32"/>
          <w:szCs w:val="32"/>
        </w:rPr>
        <w:lastRenderedPageBreak/>
        <w:t>50万只。</w:t>
      </w:r>
    </w:p>
    <w:p w:rsidR="00CA7ED3" w:rsidRDefault="001609BB">
      <w:pPr>
        <w:pBdr>
          <w:bottom w:val="single" w:sz="4" w:space="31" w:color="FFFFFF"/>
        </w:pBdr>
        <w:adjustRightInd w:val="0"/>
        <w:spacing w:line="660" w:lineRule="exact"/>
        <w:ind w:firstLineChars="200" w:firstLine="643"/>
        <w:rPr>
          <w:rFonts w:ascii="仿宋" w:eastAsia="仿宋" w:hAnsi="仿宋" w:cs="仿宋"/>
          <w:sz w:val="32"/>
          <w:szCs w:val="32"/>
        </w:rPr>
      </w:pPr>
      <w:r>
        <w:rPr>
          <w:rFonts w:ascii="楷体" w:eastAsia="楷体" w:hAnsi="楷体" w:cs="楷体" w:hint="eastAsia"/>
          <w:b/>
          <w:bCs/>
          <w:sz w:val="32"/>
          <w:szCs w:val="32"/>
        </w:rPr>
        <w:t>（三）保障饲草料供应。</w:t>
      </w:r>
      <w:r>
        <w:rPr>
          <w:rFonts w:ascii="仿宋" w:eastAsia="仿宋" w:hAnsi="仿宋" w:cs="仿宋" w:hint="eastAsia"/>
          <w:sz w:val="32"/>
          <w:szCs w:val="32"/>
        </w:rPr>
        <w:t>实施天然打草场修复工程，提升天然打草场产量，确保面积稳定在3000万亩、产量保持在20亿公斤以上；坚持“种养结合、为养而种、以种促养”，优化饲草种植结构，鼓励利用一般耕地、退化草场、沙地、盐碱地开展柠条、羊草等优质饲草种植，精准提升人工饲草质量和产量，新增优质牧草种植面积10万亩，累计达到120万亩，其中青贮玉米70万亩、苜蓿5万亩、燕麦25万亩、羊草20万亩；2024年，培育灌木饲草加工企业2家，完成平茬任务15万亩；新建全混日粮加工厂30处，旗县级储备库达到13处、苏木乡镇达到40处、嘎查村达到120处，储备能力达到20万吨。</w:t>
      </w:r>
    </w:p>
    <w:p w:rsidR="00CA7ED3" w:rsidRDefault="001609BB">
      <w:pPr>
        <w:pBdr>
          <w:bottom w:val="single" w:sz="4" w:space="31" w:color="FFFFFF"/>
        </w:pBdr>
        <w:adjustRightInd w:val="0"/>
        <w:spacing w:line="660" w:lineRule="exact"/>
        <w:ind w:firstLineChars="200" w:firstLine="641"/>
        <w:rPr>
          <w:rFonts w:ascii="仿宋" w:eastAsia="仿宋" w:hAnsi="仿宋" w:cs="仿宋"/>
          <w:sz w:val="32"/>
          <w:szCs w:val="32"/>
        </w:rPr>
      </w:pPr>
      <w:r>
        <w:rPr>
          <w:rFonts w:eastAsia="楷体_GB2312" w:cs="楷体_GB2312" w:hint="eastAsia"/>
          <w:b/>
          <w:bCs/>
          <w:sz w:val="32"/>
          <w:szCs w:val="32"/>
        </w:rPr>
        <w:t>（四）加强畜牧业基础设施建设。</w:t>
      </w:r>
      <w:r>
        <w:rPr>
          <w:rFonts w:ascii="仿宋" w:eastAsia="仿宋" w:hAnsi="仿宋" w:cs="仿宋" w:hint="eastAsia"/>
          <w:sz w:val="32"/>
          <w:szCs w:val="32"/>
        </w:rPr>
        <w:t>开展现代设施畜牧业建设专项行动，多渠道增加投入，支持合作社、养殖场（户）基础设施建设，构建多元化现代设施畜牧业发展格局。推进肉牛肉羊育肥产业发展，坚持“农牧结合、北繁南育、牧养农育”，鼓励“户繁企育”合作养殖模式，新建和提升改造暖棚40万平米，饲草料、机械库8万平米。落实农机购置与应用补贴政策，加快推进饲喂、饮水、保定架、棚圈清理、粪污处理资源化利用等环节机械化水平。农作物耕种收综合机械化率达到93%，畜牧业机械化率达到50%。</w:t>
      </w:r>
    </w:p>
    <w:p w:rsidR="00CA7ED3" w:rsidRDefault="001609BB">
      <w:pPr>
        <w:pBdr>
          <w:bottom w:val="single" w:sz="4" w:space="31" w:color="FFFFFF"/>
        </w:pBdr>
        <w:adjustRightInd w:val="0"/>
        <w:spacing w:line="660" w:lineRule="exact"/>
        <w:ind w:firstLineChars="200" w:firstLine="643"/>
        <w:rPr>
          <w:rFonts w:ascii="仿宋" w:eastAsia="仿宋" w:hAnsi="仿宋" w:cs="仿宋"/>
          <w:sz w:val="32"/>
          <w:szCs w:val="32"/>
        </w:rPr>
      </w:pPr>
      <w:r>
        <w:rPr>
          <w:rFonts w:ascii="楷体" w:eastAsia="楷体" w:hAnsi="楷体" w:cs="楷体" w:hint="eastAsia"/>
          <w:b/>
          <w:bCs/>
          <w:sz w:val="32"/>
          <w:szCs w:val="32"/>
        </w:rPr>
        <w:t>（五）全面推进种业振兴。</w:t>
      </w:r>
      <w:r>
        <w:rPr>
          <w:rFonts w:ascii="仿宋" w:eastAsia="仿宋" w:hAnsi="仿宋" w:cs="仿宋" w:hint="eastAsia"/>
          <w:sz w:val="32"/>
          <w:szCs w:val="32"/>
        </w:rPr>
        <w:t>实施种质资源保护利用工程。争取国家级蒙古牛保护区的认定和蒙古马新品系鉴定工作。加强盟级苏尼特双峰驼保种场建设；实施优势特色品种培育工程。加快构建华西牛良</w:t>
      </w:r>
      <w:r>
        <w:rPr>
          <w:rFonts w:ascii="仿宋" w:eastAsia="仿宋" w:hAnsi="仿宋" w:cs="仿宋" w:hint="eastAsia"/>
          <w:sz w:val="32"/>
          <w:szCs w:val="32"/>
        </w:rPr>
        <w:lastRenderedPageBreak/>
        <w:t>种繁育体系。华西牛种公牛站计划培育50头采精种公牛，试采精2万支，胚胎移植1000枚，华西牛育种群规模达1.8万头，推广冷冻精液20万支。持续选育“乌珠穆沁旗白牛”，建设国家级乌珠穆沁白牛（夏洛莱）核心育种场1处，新增核心群2处、扩繁群20处，屠宰性能测定10头以上，基因检测分析2000份；实施良种化水平提升工程。进一步巩固提升现代肉牛、肉羊良种繁育体系建设，国家和自治区级肉牛肉羊核心育种场达到8处、肉牛盟级种牛场累计达到30处、肉牛核心群达到350处，肉羊扩繁场、核心群分别稳定在120处、1500群。</w:t>
      </w:r>
    </w:p>
    <w:p w:rsidR="00CA7ED3" w:rsidRDefault="001609BB">
      <w:pPr>
        <w:pBdr>
          <w:bottom w:val="single" w:sz="4" w:space="31" w:color="FFFFFF"/>
        </w:pBdr>
        <w:adjustRightInd w:val="0"/>
        <w:spacing w:line="660" w:lineRule="exact"/>
        <w:ind w:firstLineChars="200" w:firstLine="640"/>
        <w:rPr>
          <w:rFonts w:ascii="仿宋" w:eastAsia="仿宋" w:hAnsi="仿宋" w:cs="仿宋"/>
          <w:sz w:val="32"/>
          <w:szCs w:val="32"/>
        </w:rPr>
      </w:pPr>
      <w:r>
        <w:rPr>
          <w:rFonts w:ascii="仿宋" w:eastAsia="仿宋" w:hAnsi="仿宋" w:cs="仿宋" w:hint="eastAsia"/>
          <w:sz w:val="32"/>
          <w:szCs w:val="32"/>
        </w:rPr>
        <w:t>（六）完善社会化服务体系。采取政府购买、定向委托、奖励补助等措施，积极培育专业化分工、服务体系充足、供需匹配的农牧业社会化服务组织。2024年，9</w:t>
      </w:r>
      <w:r>
        <w:rPr>
          <w:rFonts w:ascii="仿宋" w:eastAsia="仿宋" w:hAnsi="仿宋" w:cs="仿宋" w:hint="eastAsia"/>
          <w:sz w:val="32"/>
          <w:szCs w:val="32"/>
          <w:lang w:val="en"/>
        </w:rPr>
        <w:t>个旗县整县实施</w:t>
      </w:r>
      <w:r>
        <w:rPr>
          <w:rFonts w:ascii="仿宋" w:eastAsia="仿宋" w:hAnsi="仿宋" w:cs="仿宋" w:hint="eastAsia"/>
          <w:sz w:val="32"/>
          <w:szCs w:val="32"/>
        </w:rPr>
        <w:t>兽医社会化服务</w:t>
      </w:r>
      <w:r>
        <w:rPr>
          <w:rFonts w:ascii="仿宋" w:eastAsia="仿宋" w:hAnsi="仿宋" w:cs="仿宋" w:hint="eastAsia"/>
          <w:sz w:val="32"/>
          <w:szCs w:val="32"/>
          <w:lang w:val="en"/>
        </w:rPr>
        <w:t>，</w:t>
      </w:r>
      <w:r>
        <w:rPr>
          <w:rFonts w:ascii="仿宋" w:eastAsia="仿宋" w:hAnsi="仿宋" w:cs="仿宋" w:hint="eastAsia"/>
          <w:sz w:val="32"/>
          <w:szCs w:val="32"/>
        </w:rPr>
        <w:t>农业生产托管社会化服务面积达15万亩，从事农牧领域生产服务社会化服务主体达到300个。</w:t>
      </w:r>
    </w:p>
    <w:p w:rsidR="00CA7ED3" w:rsidRDefault="001609BB">
      <w:pPr>
        <w:pBdr>
          <w:bottom w:val="single" w:sz="4" w:space="31" w:color="FFFFFF"/>
        </w:pBdr>
        <w:adjustRightInd w:val="0"/>
        <w:spacing w:line="660" w:lineRule="exact"/>
        <w:ind w:firstLineChars="200" w:firstLine="640"/>
        <w:rPr>
          <w:rFonts w:ascii="仿宋" w:eastAsia="仿宋" w:hAnsi="仿宋" w:cs="仿宋"/>
          <w:sz w:val="32"/>
          <w:szCs w:val="32"/>
        </w:rPr>
      </w:pPr>
      <w:r>
        <w:rPr>
          <w:rFonts w:ascii="仿宋" w:eastAsia="仿宋" w:hAnsi="仿宋" w:cs="仿宋" w:hint="eastAsia"/>
          <w:sz w:val="32"/>
          <w:szCs w:val="32"/>
        </w:rPr>
        <w:t>（七）调整种植结构。坚持“稳粮优经扩饲”，永久性基本农田主要以马铃薯、玉米、小麦、杂粮杂豆等粮食作物为主，水浇地和旱作农田主要以蔬菜、油料、糖料等经济作物为主，盐碱地和旱作农田主要以青莜麦、青谷子、青贮玉米、羊草、苜蓿等为主，粮食播种面积达到220万亩、经济作物70万亩、饲草料种植120万亩，粮食产量达到10亿斤以上。</w:t>
      </w:r>
    </w:p>
    <w:p w:rsidR="00CA7ED3" w:rsidRDefault="001609BB">
      <w:pPr>
        <w:pBdr>
          <w:bottom w:val="single" w:sz="4" w:space="31" w:color="FFFFFF"/>
        </w:pBdr>
        <w:adjustRightInd w:val="0"/>
        <w:spacing w:line="660" w:lineRule="exact"/>
        <w:ind w:firstLineChars="200" w:firstLine="640"/>
        <w:rPr>
          <w:rFonts w:ascii="仿宋" w:eastAsia="仿宋" w:hAnsi="仿宋" w:cs="仿宋"/>
          <w:sz w:val="32"/>
          <w:szCs w:val="32"/>
        </w:rPr>
      </w:pPr>
      <w:r>
        <w:rPr>
          <w:rFonts w:ascii="仿宋" w:eastAsia="仿宋" w:hAnsi="仿宋" w:cs="仿宋" w:hint="eastAsia"/>
          <w:sz w:val="32"/>
          <w:szCs w:val="32"/>
        </w:rPr>
        <w:t>（八）加快高标准农田建设。严格落实《关于加强高标准农田建设十一条政策措施》，采取“三打破，五统一，一重新”的“大破大</w:t>
      </w:r>
      <w:r>
        <w:rPr>
          <w:rFonts w:ascii="仿宋" w:eastAsia="仿宋" w:hAnsi="仿宋" w:cs="仿宋" w:hint="eastAsia"/>
          <w:sz w:val="32"/>
          <w:szCs w:val="32"/>
        </w:rPr>
        <w:lastRenderedPageBreak/>
        <w:t xml:space="preserve">立”整治模式（打破农户的承包界、打破杂乱的地块界、打破混乱的沟渠路布局；统一平整土地、统一开挖沟渠、统一修整道路、统一植树造林、统一划分地块；按照新的规划布局重新分配经营土地），高质高效推进整村、整区域集中连片高标准农田建设，破小田变大田，实现一村一田、一乡一田规模化经营。2024年，实施高标准农田建设21.88万亩，其中新建高标准农田17.29万亩、改造提升高标准农田4.59万亩。 </w:t>
      </w:r>
    </w:p>
    <w:p w:rsidR="00CA7ED3" w:rsidRDefault="001609BB">
      <w:pPr>
        <w:pBdr>
          <w:bottom w:val="single" w:sz="4" w:space="31" w:color="FFFFFF"/>
        </w:pBdr>
        <w:adjustRightInd w:val="0"/>
        <w:spacing w:line="660" w:lineRule="exact"/>
        <w:ind w:firstLineChars="200" w:firstLine="641"/>
        <w:rPr>
          <w:rFonts w:ascii="仿宋" w:eastAsia="仿宋" w:hAnsi="仿宋" w:cs="仿宋"/>
          <w:sz w:val="32"/>
          <w:szCs w:val="32"/>
        </w:rPr>
      </w:pPr>
      <w:r>
        <w:rPr>
          <w:rFonts w:eastAsia="楷体_GB2312" w:cs="楷体_GB2312" w:hint="eastAsia"/>
          <w:b/>
          <w:bCs/>
          <w:sz w:val="32"/>
          <w:szCs w:val="32"/>
        </w:rPr>
        <w:t>（九）大力发展设施种植业。</w:t>
      </w:r>
      <w:r>
        <w:rPr>
          <w:rFonts w:ascii="仿宋" w:eastAsia="仿宋" w:hAnsi="仿宋" w:cs="仿宋" w:hint="eastAsia"/>
          <w:sz w:val="32"/>
          <w:szCs w:val="32"/>
        </w:rPr>
        <w:t>优化设施农业布局，重点在环京津冀圈太仆寺旗、多伦县、正蓝旗、正镶白旗和锡林浩特市等具有发展优势和潜力乡镇及城郊结合部，大力推进设施种植业基地建设。重点围绕日光温室、塑料大棚等设施建设和改造提升，引导支持龙头企业、专业合作社、种植大户等新型经营主体，因地制宜发展蔬菜、瓜果、食用菌、花卉、中草药设施种植，着力打造服务盟内、面向京北的绿色有机农产品供应基地，新增设施种植面积1200亩，累计达到1万亩。</w:t>
      </w:r>
    </w:p>
    <w:p w:rsidR="00CA7ED3" w:rsidRDefault="001609BB">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第二部分2024年度单位预算情况说明</w:t>
      </w:r>
    </w:p>
    <w:p w:rsidR="00CA7ED3" w:rsidRDefault="00CA7ED3">
      <w:pPr>
        <w:spacing w:line="600" w:lineRule="exact"/>
        <w:rPr>
          <w:rFonts w:ascii="方正小标宋简体" w:eastAsia="方正小标宋简体" w:hAnsi="方正小标宋简体" w:cs="方正小标宋简体"/>
          <w:sz w:val="36"/>
          <w:szCs w:val="36"/>
        </w:rPr>
      </w:pP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一、收支预算总体情况说明</w:t>
      </w:r>
    </w:p>
    <w:p w:rsidR="00CA7ED3" w:rsidRDefault="001609BB">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锡林郭勒盟农牧局单位</w:t>
      </w:r>
      <w:r>
        <w:rPr>
          <w:rFonts w:ascii="仿宋" w:eastAsia="仿宋" w:hAnsi="仿宋" w:cs="仿宋" w:hint="eastAsia"/>
          <w:sz w:val="32"/>
          <w:szCs w:val="32"/>
        </w:rPr>
        <w:t>2024年度收入、支出预算总计</w:t>
      </w:r>
      <w:r>
        <w:rPr>
          <w:rFonts w:ascii="仿宋" w:eastAsia="仿宋" w:hAnsi="仿宋" w:cs="仿宋" w:hint="eastAsia"/>
          <w:sz w:val="32"/>
          <w:szCs w:val="32"/>
          <w:u w:val="single"/>
        </w:rPr>
        <w:t xml:space="preserve">2231.41 </w:t>
      </w:r>
      <w:r>
        <w:rPr>
          <w:rFonts w:ascii="仿宋" w:eastAsia="仿宋" w:hAnsi="仿宋" w:cs="仿宋" w:hint="eastAsia"/>
          <w:sz w:val="32"/>
          <w:szCs w:val="32"/>
        </w:rPr>
        <w:t>万元，与上年相比收、支预算总计各减少</w:t>
      </w:r>
      <w:r>
        <w:rPr>
          <w:rFonts w:ascii="仿宋" w:eastAsia="仿宋" w:hAnsi="仿宋" w:cs="仿宋" w:hint="eastAsia"/>
          <w:sz w:val="32"/>
          <w:szCs w:val="32"/>
          <w:u w:val="single"/>
        </w:rPr>
        <w:t>344.82</w:t>
      </w:r>
      <w:r>
        <w:rPr>
          <w:rFonts w:ascii="仿宋" w:eastAsia="仿宋" w:hAnsi="仿宋" w:cs="仿宋" w:hint="eastAsia"/>
          <w:sz w:val="32"/>
          <w:szCs w:val="32"/>
        </w:rPr>
        <w:t>万元，减少</w:t>
      </w:r>
      <w:r>
        <w:rPr>
          <w:rFonts w:ascii="仿宋" w:eastAsia="仿宋" w:hAnsi="仿宋" w:cs="仿宋" w:hint="eastAsia"/>
          <w:sz w:val="32"/>
          <w:szCs w:val="32"/>
          <w:u w:val="single"/>
        </w:rPr>
        <w:t>13.38</w:t>
      </w:r>
      <w:r>
        <w:rPr>
          <w:rFonts w:ascii="仿宋" w:eastAsia="仿宋" w:hAnsi="仿宋" w:cs="仿宋" w:hint="eastAsia"/>
          <w:sz w:val="32"/>
          <w:szCs w:val="32"/>
        </w:rPr>
        <w:t>%。其中：</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（一）收入预算总计</w:t>
      </w:r>
      <w:r>
        <w:rPr>
          <w:rFonts w:ascii="仿宋" w:eastAsia="仿宋" w:hAnsi="仿宋" w:cs="仿宋" w:hint="eastAsia"/>
          <w:sz w:val="32"/>
          <w:szCs w:val="32"/>
          <w:u w:val="single"/>
        </w:rPr>
        <w:t>2231.41</w:t>
      </w:r>
      <w:r>
        <w:rPr>
          <w:rFonts w:ascii="楷体" w:eastAsia="楷体" w:hAnsi="楷体" w:cs="楷体" w:hint="eastAsia"/>
          <w:b/>
          <w:bCs/>
          <w:sz w:val="32"/>
          <w:szCs w:val="32"/>
        </w:rPr>
        <w:t>万元。包括：</w:t>
      </w:r>
    </w:p>
    <w:p w:rsidR="00CA7ED3" w:rsidRDefault="001609BB">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1．本年收入合计</w:t>
      </w:r>
      <w:r>
        <w:rPr>
          <w:rFonts w:ascii="仿宋" w:eastAsia="仿宋" w:hAnsi="仿宋" w:cs="仿宋" w:hint="eastAsia"/>
          <w:sz w:val="32"/>
          <w:szCs w:val="32"/>
          <w:u w:val="single"/>
        </w:rPr>
        <w:t>2114.11</w:t>
      </w:r>
      <w:r>
        <w:rPr>
          <w:rFonts w:ascii="仿宋" w:eastAsia="仿宋" w:hAnsi="仿宋" w:cs="仿宋" w:hint="eastAsia"/>
          <w:sz w:val="32"/>
          <w:szCs w:val="32"/>
        </w:rPr>
        <w:t>万元。</w:t>
      </w:r>
    </w:p>
    <w:p w:rsidR="00CA7ED3" w:rsidRDefault="001609BB">
      <w:pPr>
        <w:pStyle w:val="a7"/>
        <w:tabs>
          <w:tab w:val="left" w:pos="1389"/>
          <w:tab w:val="left" w:pos="4911"/>
          <w:tab w:val="left" w:pos="5898"/>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（1）一般公共预算拨款收入</w:t>
      </w:r>
      <w:r>
        <w:rPr>
          <w:rFonts w:ascii="仿宋" w:eastAsia="仿宋" w:hAnsi="仿宋" w:cs="仿宋" w:hint="eastAsia"/>
          <w:sz w:val="32"/>
          <w:szCs w:val="32"/>
          <w:u w:val="single"/>
        </w:rPr>
        <w:t>2114.11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246.36</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10.44</w:t>
      </w:r>
      <w:r>
        <w:rPr>
          <w:rFonts w:ascii="仿宋" w:eastAsia="仿宋" w:hAnsi="仿宋" w:cs="仿宋" w:hint="eastAsia"/>
          <w:sz w:val="32"/>
          <w:szCs w:val="32"/>
        </w:rPr>
        <w:t>%。主要原因是本年全盟地方特色乳制品产业重点工作资金等</w:t>
      </w:r>
      <w:r>
        <w:rPr>
          <w:rFonts w:ascii="仿宋" w:eastAsia="仿宋" w:hAnsi="仿宋" w:cs="仿宋" w:hint="eastAsia"/>
          <w:spacing w:val="4"/>
          <w:sz w:val="32"/>
          <w:szCs w:val="32"/>
        </w:rPr>
        <w:t>专项减少和离休人员全部离世</w:t>
      </w:r>
      <w:r>
        <w:rPr>
          <w:rFonts w:ascii="仿宋" w:eastAsia="仿宋" w:hAnsi="仿宋" w:cs="仿宋" w:hint="eastAsia"/>
          <w:sz w:val="32"/>
          <w:szCs w:val="32"/>
        </w:rPr>
        <w:t>。</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（2）政府性基金预算拨款收入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（3）国有资本经营预算拨款收入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（4）财政专户管理资金收入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（5）事业收入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（6）事业单位经营收入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（7）上级补助收入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（8）附属单位上缴收入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（9）其他收入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2．上年结转结余为</w:t>
      </w:r>
      <w:r>
        <w:rPr>
          <w:rFonts w:ascii="仿宋" w:eastAsia="仿宋" w:hAnsi="仿宋" w:cs="仿宋" w:hint="eastAsia"/>
          <w:sz w:val="32"/>
          <w:szCs w:val="32"/>
          <w:u w:val="single"/>
        </w:rPr>
        <w:t>117.3</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98.48</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45.64 </w:t>
      </w:r>
      <w:r>
        <w:rPr>
          <w:rFonts w:ascii="仿宋" w:eastAsia="仿宋" w:hAnsi="仿宋" w:cs="仿宋" w:hint="eastAsia"/>
          <w:sz w:val="32"/>
          <w:szCs w:val="32"/>
        </w:rPr>
        <w:t>%。主要原因是2023年根据项目进度，将完工的项目资金</w:t>
      </w:r>
      <w:r>
        <w:rPr>
          <w:rFonts w:ascii="仿宋" w:eastAsia="仿宋" w:hAnsi="仿宋" w:cs="仿宋" w:hint="eastAsia"/>
          <w:sz w:val="32"/>
          <w:szCs w:val="32"/>
        </w:rPr>
        <w:lastRenderedPageBreak/>
        <w:t>全部支付，导致上年结转资金减少。</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（二）支出预算总计</w:t>
      </w:r>
      <w:r>
        <w:rPr>
          <w:rFonts w:ascii="仿宋" w:eastAsia="仿宋" w:hAnsi="仿宋" w:cs="仿宋" w:hint="eastAsia"/>
          <w:sz w:val="32"/>
          <w:szCs w:val="32"/>
          <w:u w:val="single"/>
        </w:rPr>
        <w:t>2231.41</w:t>
      </w:r>
      <w:r>
        <w:rPr>
          <w:rFonts w:ascii="楷体" w:eastAsia="楷体" w:hAnsi="楷体" w:cs="楷体" w:hint="eastAsia"/>
          <w:b/>
          <w:bCs/>
          <w:sz w:val="32"/>
          <w:szCs w:val="32"/>
        </w:rPr>
        <w:t>万元。包括：</w:t>
      </w:r>
    </w:p>
    <w:p w:rsidR="00CA7ED3" w:rsidRDefault="001609BB">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1．本年支出合计</w:t>
      </w:r>
      <w:r>
        <w:rPr>
          <w:rFonts w:ascii="仿宋" w:eastAsia="仿宋" w:hAnsi="仿宋" w:cs="仿宋" w:hint="eastAsia"/>
          <w:sz w:val="32"/>
          <w:szCs w:val="32"/>
          <w:u w:val="single"/>
        </w:rPr>
        <w:t>2231.41</w:t>
      </w:r>
      <w:r>
        <w:rPr>
          <w:rFonts w:ascii="仿宋" w:eastAsia="仿宋" w:hAnsi="仿宋" w:cs="仿宋" w:hint="eastAsia"/>
          <w:sz w:val="32"/>
          <w:szCs w:val="32"/>
        </w:rPr>
        <w:t>万元。</w:t>
      </w:r>
    </w:p>
    <w:p w:rsidR="00CA7ED3" w:rsidRDefault="001609BB">
      <w:pPr>
        <w:pStyle w:val="a7"/>
        <w:tabs>
          <w:tab w:val="left" w:pos="3288"/>
          <w:tab w:val="left" w:pos="5641"/>
          <w:tab w:val="left" w:pos="6778"/>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（1）一般公共服务（类）支出</w:t>
      </w:r>
      <w:r>
        <w:rPr>
          <w:rFonts w:ascii="仿宋" w:eastAsia="仿宋" w:hAnsi="仿宋" w:cs="仿宋" w:hint="eastAsia"/>
          <w:sz w:val="32"/>
          <w:szCs w:val="32"/>
          <w:u w:val="single"/>
        </w:rPr>
        <w:t>5.51</w:t>
      </w:r>
      <w:r>
        <w:rPr>
          <w:rFonts w:ascii="仿宋" w:eastAsia="仿宋" w:hAnsi="仿宋" w:cs="仿宋" w:hint="eastAsia"/>
          <w:sz w:val="32"/>
          <w:szCs w:val="32"/>
        </w:rPr>
        <w:t>万元，主要用于2022年政策性农业保险试点地区推动工作经费、万名专家人才服务基层、盟级招商引资项目资金等。与上年相比减少</w:t>
      </w:r>
      <w:r>
        <w:rPr>
          <w:rFonts w:ascii="仿宋" w:eastAsia="仿宋" w:hAnsi="仿宋" w:cs="仿宋" w:hint="eastAsia"/>
          <w:sz w:val="32"/>
          <w:szCs w:val="32"/>
          <w:u w:val="single"/>
        </w:rPr>
        <w:t>0.49</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8.17 </w:t>
      </w:r>
      <w:r>
        <w:rPr>
          <w:rFonts w:ascii="仿宋" w:eastAsia="仿宋" w:hAnsi="仿宋" w:cs="仿宋" w:hint="eastAsia"/>
          <w:sz w:val="32"/>
          <w:szCs w:val="32"/>
        </w:rPr>
        <w:t>%。主要原因是均为上年结转资金，2023年开展工作任务较重。</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（2）科学技术（类）支出</w:t>
      </w:r>
      <w:r>
        <w:rPr>
          <w:rFonts w:ascii="仿宋" w:eastAsia="仿宋" w:hAnsi="仿宋" w:cs="仿宋" w:hint="eastAsia"/>
          <w:sz w:val="32"/>
          <w:szCs w:val="32"/>
          <w:u w:val="single"/>
        </w:rPr>
        <w:t>200</w:t>
      </w:r>
      <w:r>
        <w:rPr>
          <w:rFonts w:ascii="仿宋" w:eastAsia="仿宋" w:hAnsi="仿宋" w:cs="仿宋" w:hint="eastAsia"/>
          <w:sz w:val="32"/>
          <w:szCs w:val="32"/>
        </w:rPr>
        <w:t>万元，主要用于华西牛持续选育与良种推广技术服务。与上年相比增加</w:t>
      </w:r>
      <w:r>
        <w:rPr>
          <w:rFonts w:ascii="仿宋" w:eastAsia="仿宋" w:hAnsi="仿宋" w:cs="仿宋" w:hint="eastAsia"/>
          <w:sz w:val="32"/>
          <w:szCs w:val="32"/>
          <w:u w:val="single"/>
        </w:rPr>
        <w:t>200</w:t>
      </w:r>
      <w:r>
        <w:rPr>
          <w:rFonts w:ascii="仿宋" w:eastAsia="仿宋" w:hAnsi="仿宋" w:cs="仿宋" w:hint="eastAsia"/>
          <w:sz w:val="32"/>
          <w:szCs w:val="32"/>
        </w:rPr>
        <w:t>万元。主要原因是华西牛持续选育与良种推广技术服务项目2023年支出科目为农林水支出，本年调剂到本科目。</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（3）社会保障和就业（类）支出</w:t>
      </w:r>
      <w:r>
        <w:rPr>
          <w:rFonts w:ascii="仿宋" w:eastAsia="仿宋" w:hAnsi="仿宋" w:cs="仿宋" w:hint="eastAsia"/>
          <w:sz w:val="32"/>
          <w:szCs w:val="32"/>
          <w:u w:val="single"/>
        </w:rPr>
        <w:t>234.36</w:t>
      </w:r>
      <w:r>
        <w:rPr>
          <w:rFonts w:ascii="仿宋" w:eastAsia="仿宋" w:hAnsi="仿宋" w:cs="仿宋" w:hint="eastAsia"/>
          <w:sz w:val="32"/>
          <w:szCs w:val="32"/>
        </w:rPr>
        <w:t>万元，主要用于机关事业单位基本养老保险缴费支出、机关事业单位职业年金缴费支出、单位离退休人员工资等。与上年相比减少</w:t>
      </w:r>
      <w:r>
        <w:rPr>
          <w:rFonts w:ascii="仿宋" w:eastAsia="仿宋" w:hAnsi="仿宋" w:cs="仿宋" w:hint="eastAsia"/>
          <w:sz w:val="32"/>
          <w:szCs w:val="32"/>
          <w:u w:val="single"/>
        </w:rPr>
        <w:t>45.99</w:t>
      </w:r>
      <w:r>
        <w:rPr>
          <w:rFonts w:ascii="仿宋" w:eastAsia="仿宋" w:hAnsi="仿宋" w:cs="仿宋" w:hint="eastAsia"/>
          <w:sz w:val="32"/>
          <w:szCs w:val="32"/>
        </w:rPr>
        <w:t>万元，减少</w:t>
      </w:r>
      <w:r>
        <w:rPr>
          <w:rFonts w:ascii="仿宋" w:eastAsia="仿宋" w:hAnsi="仿宋" w:cs="仿宋" w:hint="eastAsia"/>
          <w:sz w:val="32"/>
          <w:szCs w:val="32"/>
          <w:u w:val="single"/>
        </w:rPr>
        <w:t>16.4</w:t>
      </w:r>
      <w:r>
        <w:rPr>
          <w:rFonts w:ascii="仿宋" w:eastAsia="仿宋" w:hAnsi="仿宋" w:cs="仿宋" w:hint="eastAsia"/>
          <w:sz w:val="32"/>
          <w:szCs w:val="32"/>
        </w:rPr>
        <w:t xml:space="preserve"> %。主要原因是</w:t>
      </w:r>
      <w:r>
        <w:rPr>
          <w:rFonts w:ascii="仿宋" w:eastAsia="仿宋" w:hAnsi="仿宋" w:cs="仿宋" w:hint="eastAsia"/>
          <w:spacing w:val="4"/>
          <w:sz w:val="32"/>
          <w:szCs w:val="32"/>
        </w:rPr>
        <w:t>离休人员全部离世</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（4）卫生健康（类）支出</w:t>
      </w:r>
      <w:r>
        <w:rPr>
          <w:rFonts w:ascii="仿宋" w:eastAsia="仿宋" w:hAnsi="仿宋" w:cs="仿宋" w:hint="eastAsia"/>
          <w:sz w:val="32"/>
          <w:szCs w:val="32"/>
          <w:u w:val="single"/>
        </w:rPr>
        <w:t>102.74</w:t>
      </w:r>
      <w:r>
        <w:rPr>
          <w:rFonts w:ascii="仿宋" w:eastAsia="仿宋" w:hAnsi="仿宋" w:cs="仿宋" w:hint="eastAsia"/>
          <w:sz w:val="32"/>
          <w:szCs w:val="32"/>
        </w:rPr>
        <w:t>万元，主要用于缴纳行政单位在职人员及退休人员的医疗保险及公务员医疗补助。与上年相比减少</w:t>
      </w:r>
      <w:r>
        <w:rPr>
          <w:rFonts w:ascii="仿宋" w:eastAsia="仿宋" w:hAnsi="仿宋" w:cs="仿宋" w:hint="eastAsia"/>
          <w:sz w:val="32"/>
          <w:szCs w:val="32"/>
          <w:u w:val="single"/>
        </w:rPr>
        <w:t>0.93</w:t>
      </w:r>
      <w:r>
        <w:rPr>
          <w:rFonts w:ascii="仿宋" w:eastAsia="仿宋" w:hAnsi="仿宋" w:cs="仿宋" w:hint="eastAsia"/>
          <w:sz w:val="32"/>
          <w:szCs w:val="32"/>
        </w:rPr>
        <w:t>万元，减少</w:t>
      </w:r>
      <w:r>
        <w:rPr>
          <w:rFonts w:ascii="仿宋" w:eastAsia="仿宋" w:hAnsi="仿宋" w:cs="仿宋" w:hint="eastAsia"/>
          <w:sz w:val="32"/>
          <w:szCs w:val="32"/>
          <w:u w:val="single"/>
        </w:rPr>
        <w:t>0.89</w:t>
      </w:r>
      <w:r>
        <w:rPr>
          <w:rFonts w:ascii="仿宋" w:eastAsia="仿宋" w:hAnsi="仿宋" w:cs="仿宋" w:hint="eastAsia"/>
          <w:sz w:val="32"/>
          <w:szCs w:val="32"/>
        </w:rPr>
        <w:t>%。主要原因是人员退休及人员去世，导致单位部分基本医疗保险及公务员医疗补助减少。</w:t>
      </w:r>
    </w:p>
    <w:p w:rsidR="00CA7ED3" w:rsidRDefault="001609BB">
      <w:pPr>
        <w:pStyle w:val="a7"/>
        <w:tabs>
          <w:tab w:val="left" w:pos="500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（5）农林水（类）支出</w:t>
      </w:r>
      <w:r>
        <w:rPr>
          <w:rFonts w:ascii="仿宋" w:eastAsia="仿宋" w:hAnsi="仿宋" w:cs="仿宋" w:hint="eastAsia"/>
          <w:sz w:val="32"/>
          <w:szCs w:val="32"/>
          <w:u w:val="single"/>
        </w:rPr>
        <w:t>1581.62</w:t>
      </w:r>
      <w:r>
        <w:rPr>
          <w:rFonts w:ascii="仿宋" w:eastAsia="仿宋" w:hAnsi="仿宋" w:cs="仿宋" w:hint="eastAsia"/>
          <w:sz w:val="32"/>
          <w:szCs w:val="32"/>
        </w:rPr>
        <w:t>万元，主要用于机构运转人员工资、工伤保险、日常业务工作经费及专项业务活动开展等农牧业业务方面支出。与上年相比减少</w:t>
      </w:r>
      <w:r>
        <w:rPr>
          <w:rFonts w:ascii="仿宋" w:eastAsia="仿宋" w:hAnsi="仿宋" w:cs="仿宋" w:hint="eastAsia"/>
          <w:sz w:val="32"/>
          <w:szCs w:val="32"/>
          <w:u w:val="single"/>
        </w:rPr>
        <w:t xml:space="preserve">433.40 </w:t>
      </w:r>
      <w:r>
        <w:rPr>
          <w:rFonts w:ascii="仿宋" w:eastAsia="仿宋" w:hAnsi="仿宋" w:cs="仿宋" w:hint="eastAsia"/>
          <w:sz w:val="32"/>
          <w:szCs w:val="32"/>
        </w:rPr>
        <w:t>万元，减少</w:t>
      </w:r>
      <w:r>
        <w:rPr>
          <w:rFonts w:ascii="仿宋" w:eastAsia="仿宋" w:hAnsi="仿宋" w:cs="仿宋" w:hint="eastAsia"/>
          <w:sz w:val="32"/>
          <w:szCs w:val="32"/>
          <w:u w:val="single"/>
        </w:rPr>
        <w:t>21.51</w:t>
      </w:r>
      <w:r>
        <w:rPr>
          <w:rFonts w:ascii="仿宋" w:eastAsia="仿宋" w:hAnsi="仿宋" w:cs="仿宋" w:hint="eastAsia"/>
          <w:sz w:val="32"/>
          <w:szCs w:val="32"/>
        </w:rPr>
        <w:t>%。主要原因华西牛持续选育与良种推广技术服务项目调剂支出功能分类等。</w:t>
      </w:r>
    </w:p>
    <w:p w:rsidR="00CA7ED3" w:rsidRDefault="001609BB">
      <w:pPr>
        <w:pStyle w:val="a7"/>
        <w:tabs>
          <w:tab w:val="left" w:pos="500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（6）自然资源海洋气象等（类）支出</w:t>
      </w:r>
      <w:r>
        <w:rPr>
          <w:rFonts w:ascii="仿宋" w:eastAsia="仿宋" w:hAnsi="仿宋" w:cs="仿宋" w:hint="eastAsia"/>
          <w:sz w:val="32"/>
          <w:szCs w:val="32"/>
          <w:u w:val="single"/>
        </w:rPr>
        <w:t>0.54</w:t>
      </w:r>
      <w:r>
        <w:rPr>
          <w:rFonts w:ascii="仿宋" w:eastAsia="仿宋" w:hAnsi="仿宋" w:cs="仿宋" w:hint="eastAsia"/>
          <w:sz w:val="32"/>
          <w:szCs w:val="32"/>
        </w:rPr>
        <w:t>万元，主要用于全民所有自然资源资产所有权委托代理机制试点工作经费。与上年相比减少</w:t>
      </w:r>
      <w:r>
        <w:rPr>
          <w:rFonts w:ascii="仿宋" w:eastAsia="仿宋" w:hAnsi="仿宋" w:cs="仿宋" w:hint="eastAsia"/>
          <w:sz w:val="32"/>
          <w:szCs w:val="32"/>
          <w:u w:val="single"/>
        </w:rPr>
        <w:t>29.46</w:t>
      </w:r>
      <w:r>
        <w:rPr>
          <w:rFonts w:ascii="仿宋" w:eastAsia="仿宋" w:hAnsi="仿宋" w:cs="仿宋" w:hint="eastAsia"/>
          <w:sz w:val="32"/>
          <w:szCs w:val="32"/>
        </w:rPr>
        <w:t>万元，减少</w:t>
      </w:r>
      <w:r>
        <w:rPr>
          <w:rFonts w:ascii="仿宋" w:eastAsia="仿宋" w:hAnsi="仿宋" w:cs="仿宋" w:hint="eastAsia"/>
          <w:sz w:val="32"/>
          <w:szCs w:val="32"/>
          <w:u w:val="single"/>
        </w:rPr>
        <w:t>98.21</w:t>
      </w:r>
      <w:r>
        <w:rPr>
          <w:rFonts w:ascii="仿宋" w:eastAsia="仿宋" w:hAnsi="仿宋" w:cs="仿宋" w:hint="eastAsia"/>
          <w:sz w:val="32"/>
          <w:szCs w:val="32"/>
        </w:rPr>
        <w:t>%。主要原因2024年未下达全民所有自然资源资产所有权委托代理机制试点工作经费，当年预算金额为2023年结转资金。</w:t>
      </w:r>
    </w:p>
    <w:p w:rsidR="00CA7ED3" w:rsidRDefault="001609BB">
      <w:pPr>
        <w:pStyle w:val="a7"/>
        <w:tabs>
          <w:tab w:val="left" w:pos="5000"/>
        </w:tabs>
        <w:spacing w:after="0" w:line="600" w:lineRule="exact"/>
        <w:ind w:firstLineChars="200" w:firstLine="640"/>
        <w:rPr>
          <w:rFonts w:ascii="仿宋" w:eastAsia="仿宋" w:hAnsi="仿宋" w:cs="仿宋"/>
          <w:sz w:val="32"/>
          <w:szCs w:val="32"/>
          <w:highlight w:val="cyan"/>
        </w:rPr>
      </w:pPr>
      <w:r>
        <w:rPr>
          <w:rFonts w:ascii="仿宋" w:eastAsia="仿宋" w:hAnsi="仿宋" w:cs="仿宋" w:hint="eastAsia"/>
          <w:sz w:val="32"/>
          <w:szCs w:val="32"/>
        </w:rPr>
        <w:t>（7）住房保障（类）支出</w:t>
      </w:r>
      <w:r>
        <w:rPr>
          <w:rFonts w:ascii="仿宋" w:eastAsia="仿宋" w:hAnsi="仿宋" w:cs="仿宋" w:hint="eastAsia"/>
          <w:sz w:val="32"/>
          <w:szCs w:val="32"/>
          <w:u w:val="single"/>
        </w:rPr>
        <w:t>103.64</w:t>
      </w:r>
      <w:r>
        <w:rPr>
          <w:rFonts w:ascii="仿宋" w:eastAsia="仿宋" w:hAnsi="仿宋" w:cs="仿宋" w:hint="eastAsia"/>
          <w:sz w:val="32"/>
          <w:szCs w:val="32"/>
        </w:rPr>
        <w:t>万元，主要用于行政单位在职人员发放住房公积金和新职工住房补贴支出。与上年相比增加</w:t>
      </w:r>
      <w:r>
        <w:rPr>
          <w:rFonts w:ascii="仿宋" w:eastAsia="仿宋" w:hAnsi="仿宋" w:cs="仿宋" w:hint="eastAsia"/>
          <w:sz w:val="32"/>
          <w:szCs w:val="32"/>
          <w:u w:val="single"/>
        </w:rPr>
        <w:t xml:space="preserve">12.12 </w:t>
      </w:r>
      <w:r>
        <w:rPr>
          <w:rFonts w:ascii="仿宋" w:eastAsia="仿宋" w:hAnsi="仿宋" w:cs="仿宋" w:hint="eastAsia"/>
          <w:sz w:val="32"/>
          <w:szCs w:val="32"/>
        </w:rPr>
        <w:t>万元，增长</w:t>
      </w:r>
      <w:r>
        <w:rPr>
          <w:rFonts w:ascii="仿宋" w:eastAsia="仿宋" w:hAnsi="仿宋" w:cs="仿宋" w:hint="eastAsia"/>
          <w:sz w:val="32"/>
          <w:szCs w:val="32"/>
          <w:u w:val="single"/>
        </w:rPr>
        <w:t>13.25</w:t>
      </w:r>
      <w:r>
        <w:rPr>
          <w:rFonts w:ascii="仿宋" w:eastAsia="仿宋" w:hAnsi="仿宋" w:cs="仿宋" w:hint="eastAsia"/>
          <w:sz w:val="32"/>
          <w:szCs w:val="32"/>
        </w:rPr>
        <w:t>%</w:t>
      </w:r>
      <w:r w:rsidR="00175AE0">
        <w:rPr>
          <w:rFonts w:ascii="仿宋" w:eastAsia="仿宋" w:hAnsi="仿宋" w:cs="仿宋" w:hint="eastAsia"/>
          <w:sz w:val="32"/>
          <w:szCs w:val="32"/>
        </w:rPr>
        <w:t>。主要原因在</w:t>
      </w:r>
      <w:r>
        <w:rPr>
          <w:rFonts w:ascii="仿宋" w:eastAsia="仿宋" w:hAnsi="仿宋" w:cs="仿宋" w:hint="eastAsia"/>
          <w:sz w:val="32"/>
          <w:szCs w:val="32"/>
        </w:rPr>
        <w:t>于2023年人员调入、人员工资增加导致。</w:t>
      </w:r>
    </w:p>
    <w:p w:rsidR="00CA7ED3" w:rsidRDefault="001609BB">
      <w:pPr>
        <w:pStyle w:val="a7"/>
        <w:tabs>
          <w:tab w:val="left" w:pos="500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（8）其他（类）支出</w:t>
      </w:r>
      <w:r>
        <w:rPr>
          <w:rFonts w:ascii="仿宋" w:eastAsia="仿宋" w:hAnsi="仿宋" w:cs="仿宋" w:hint="eastAsia"/>
          <w:sz w:val="32"/>
          <w:szCs w:val="32"/>
          <w:u w:val="single"/>
        </w:rPr>
        <w:t>2.99</w:t>
      </w:r>
      <w:r>
        <w:rPr>
          <w:rFonts w:ascii="仿宋" w:eastAsia="仿宋" w:hAnsi="仿宋" w:cs="仿宋" w:hint="eastAsia"/>
          <w:sz w:val="32"/>
          <w:szCs w:val="32"/>
        </w:rPr>
        <w:t>万元，主要用于招商引资业务方面支出。与上年相比减少</w:t>
      </w:r>
      <w:r>
        <w:rPr>
          <w:rFonts w:ascii="仿宋" w:eastAsia="仿宋" w:hAnsi="仿宋" w:cs="仿宋" w:hint="eastAsia"/>
          <w:sz w:val="32"/>
          <w:szCs w:val="32"/>
          <w:u w:val="single"/>
        </w:rPr>
        <w:t>46.67</w:t>
      </w:r>
      <w:r>
        <w:rPr>
          <w:rFonts w:ascii="仿宋" w:eastAsia="仿宋" w:hAnsi="仿宋" w:cs="仿宋" w:hint="eastAsia"/>
          <w:sz w:val="32"/>
          <w:szCs w:val="32"/>
        </w:rPr>
        <w:t>万元，减少</w:t>
      </w:r>
      <w:r>
        <w:rPr>
          <w:rFonts w:ascii="仿宋" w:eastAsia="仿宋" w:hAnsi="仿宋" w:cs="仿宋" w:hint="eastAsia"/>
          <w:sz w:val="32"/>
          <w:szCs w:val="32"/>
          <w:u w:val="single"/>
        </w:rPr>
        <w:t>93.97</w:t>
      </w:r>
      <w:r>
        <w:rPr>
          <w:rFonts w:ascii="仿宋" w:eastAsia="仿宋" w:hAnsi="仿宋" w:cs="仿宋" w:hint="eastAsia"/>
          <w:sz w:val="32"/>
          <w:szCs w:val="32"/>
        </w:rPr>
        <w:t>%。主要原因2023年未下达招商引资项目资金，当年预算金额为2023年结转资金。</w:t>
      </w:r>
    </w:p>
    <w:p w:rsidR="00CA7ED3" w:rsidRDefault="001609BB">
      <w:pPr>
        <w:pStyle w:val="a7"/>
        <w:tabs>
          <w:tab w:val="left" w:pos="411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2．年终结转结余为</w:t>
      </w:r>
      <w:r>
        <w:rPr>
          <w:rFonts w:ascii="仿宋" w:eastAsia="仿宋" w:hAnsi="仿宋" w:cs="仿宋" w:hint="eastAsia"/>
          <w:sz w:val="32"/>
          <w:szCs w:val="32"/>
          <w:u w:val="single"/>
        </w:rPr>
        <w:t>0</w:t>
      </w:r>
      <w:r>
        <w:rPr>
          <w:rFonts w:ascii="仿宋" w:eastAsia="仿宋" w:hAnsi="仿宋" w:cs="仿宋" w:hint="eastAsia"/>
          <w:sz w:val="32"/>
          <w:szCs w:val="32"/>
        </w:rPr>
        <w:t>万元，主要原因是年底无结余结转资。</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二、收入预算情况说明</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2024年收入预算合计</w:t>
      </w:r>
      <w:r>
        <w:rPr>
          <w:rFonts w:ascii="仿宋" w:eastAsia="仿宋" w:hAnsi="仿宋" w:cs="仿宋" w:hint="eastAsia"/>
          <w:sz w:val="32"/>
          <w:szCs w:val="32"/>
          <w:u w:val="single"/>
        </w:rPr>
        <w:t>2231.41</w:t>
      </w:r>
      <w:r>
        <w:rPr>
          <w:rFonts w:ascii="仿宋" w:eastAsia="仿宋" w:hAnsi="仿宋" w:cs="仿宋" w:hint="eastAsia"/>
          <w:sz w:val="32"/>
          <w:szCs w:val="32"/>
        </w:rPr>
        <w:t>万元，包括本年收入</w:t>
      </w:r>
      <w:r>
        <w:rPr>
          <w:rFonts w:ascii="仿宋" w:eastAsia="仿宋" w:hAnsi="仿宋" w:cs="仿宋" w:hint="eastAsia"/>
          <w:sz w:val="32"/>
          <w:szCs w:val="32"/>
          <w:u w:val="single"/>
        </w:rPr>
        <w:t>2114.11</w:t>
      </w:r>
      <w:r>
        <w:rPr>
          <w:rFonts w:ascii="仿宋" w:eastAsia="仿宋" w:hAnsi="仿宋" w:cs="仿宋" w:hint="eastAsia"/>
          <w:sz w:val="32"/>
          <w:szCs w:val="32"/>
        </w:rPr>
        <w:t>万元，上年结转结余</w:t>
      </w:r>
      <w:r>
        <w:rPr>
          <w:rFonts w:ascii="仿宋" w:eastAsia="仿宋" w:hAnsi="仿宋" w:cs="仿宋" w:hint="eastAsia"/>
          <w:sz w:val="32"/>
          <w:szCs w:val="32"/>
          <w:u w:val="single"/>
        </w:rPr>
        <w:t>117.3</w:t>
      </w:r>
      <w:r>
        <w:rPr>
          <w:rFonts w:ascii="仿宋" w:eastAsia="仿宋" w:hAnsi="仿宋" w:cs="仿宋" w:hint="eastAsia"/>
          <w:sz w:val="32"/>
          <w:szCs w:val="32"/>
        </w:rPr>
        <w:t>万元。其中：</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w:t>
      </w:r>
      <w:bookmarkStart w:id="0" w:name="OLE_LINK1"/>
      <w:r>
        <w:rPr>
          <w:rFonts w:ascii="仿宋" w:eastAsia="仿宋" w:hAnsi="仿宋" w:cs="仿宋" w:hint="eastAsia"/>
          <w:sz w:val="32"/>
          <w:szCs w:val="32"/>
        </w:rPr>
        <w:t>一般公共预算</w:t>
      </w:r>
      <w:bookmarkEnd w:id="0"/>
      <w:r>
        <w:rPr>
          <w:rFonts w:ascii="仿宋" w:eastAsia="仿宋" w:hAnsi="仿宋" w:cs="仿宋" w:hint="eastAsia"/>
          <w:sz w:val="32"/>
          <w:szCs w:val="32"/>
        </w:rPr>
        <w:t>收入</w:t>
      </w:r>
      <w:r>
        <w:rPr>
          <w:rFonts w:ascii="仿宋" w:eastAsia="仿宋" w:hAnsi="仿宋" w:cs="仿宋" w:hint="eastAsia"/>
          <w:sz w:val="32"/>
          <w:szCs w:val="32"/>
          <w:u w:val="single"/>
        </w:rPr>
        <w:t>2114.11</w:t>
      </w:r>
      <w:r>
        <w:rPr>
          <w:rFonts w:ascii="仿宋" w:eastAsia="仿宋" w:hAnsi="仿宋" w:cs="仿宋" w:hint="eastAsia"/>
          <w:sz w:val="32"/>
          <w:szCs w:val="32"/>
        </w:rPr>
        <w:t>万元，占</w:t>
      </w:r>
      <w:r>
        <w:rPr>
          <w:rFonts w:ascii="仿宋" w:eastAsia="仿宋" w:hAnsi="仿宋" w:cs="仿宋" w:hint="eastAsia"/>
          <w:sz w:val="32"/>
          <w:szCs w:val="32"/>
          <w:u w:val="single"/>
        </w:rPr>
        <w:t>95</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本年政府性基金预算收入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ab/>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本年国有资本经营预算收入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本年财政专户管理资金</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本年事业收入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本年事业单位经营收入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本年上级补助收入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本年附属单位上缴收入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本年其他收入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上年结转结余的一般公共预算收入</w:t>
      </w:r>
      <w:r>
        <w:rPr>
          <w:rFonts w:ascii="仿宋" w:eastAsia="仿宋" w:hAnsi="仿宋" w:cs="仿宋" w:hint="eastAsia"/>
          <w:sz w:val="32"/>
          <w:szCs w:val="32"/>
          <w:u w:val="single"/>
        </w:rPr>
        <w:t>117.3</w:t>
      </w:r>
      <w:r>
        <w:rPr>
          <w:rFonts w:ascii="仿宋" w:eastAsia="仿宋" w:hAnsi="仿宋" w:cs="仿宋" w:hint="eastAsia"/>
          <w:sz w:val="32"/>
          <w:szCs w:val="32"/>
        </w:rPr>
        <w:t>万元，占</w:t>
      </w:r>
      <w:r>
        <w:rPr>
          <w:rFonts w:ascii="仿宋" w:eastAsia="仿宋" w:hAnsi="仿宋" w:cs="仿宋" w:hint="eastAsia"/>
          <w:sz w:val="32"/>
          <w:szCs w:val="32"/>
          <w:u w:val="single"/>
        </w:rPr>
        <w:t>5</w:t>
      </w:r>
      <w:r>
        <w:rPr>
          <w:rFonts w:ascii="仿宋" w:eastAsia="仿宋" w:hAnsi="仿宋" w:cs="仿宋" w:hint="eastAsia"/>
          <w:sz w:val="32"/>
          <w:szCs w:val="32"/>
        </w:rPr>
        <w:tab/>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上年结转结余的政府性基金预算收入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上年结转结余的国有资本经营预算收入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上年结转结余的财政专户管理资金</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上年结转结余的单位资金</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CA7ED3">
      <w:pPr>
        <w:pStyle w:val="BodyTextFirstIndent21"/>
        <w:ind w:leftChars="0" w:left="0" w:firstLineChars="0" w:firstLine="0"/>
        <w:rPr>
          <w:rFonts w:eastAsia="黑体"/>
          <w:sz w:val="32"/>
          <w:szCs w:val="36"/>
        </w:rPr>
      </w:pPr>
    </w:p>
    <w:p w:rsidR="00CA7ED3" w:rsidRDefault="001609BB">
      <w:pPr>
        <w:pStyle w:val="BodyTextFirstIndent21"/>
        <w:ind w:firstLine="640"/>
        <w:rPr>
          <w:rFonts w:eastAsia="黑体"/>
          <w:sz w:val="32"/>
          <w:szCs w:val="36"/>
        </w:rPr>
      </w:pPr>
      <w:r>
        <w:rPr>
          <w:rFonts w:eastAsia="仿宋_GB2312" w:cs="Times New Roman" w:hint="eastAsia"/>
          <w:noProof/>
          <w:sz w:val="32"/>
          <w:szCs w:val="32"/>
        </w:rPr>
        <w:drawing>
          <wp:inline distT="0" distB="0" distL="114300" distR="114300">
            <wp:extent cx="5256530" cy="2988310"/>
            <wp:effectExtent l="5080" t="4445" r="8890" b="171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7ED3" w:rsidRDefault="00CA7ED3">
      <w:pPr>
        <w:pStyle w:val="BodyTextFirstIndent21"/>
        <w:ind w:firstLine="640"/>
        <w:rPr>
          <w:rFonts w:eastAsia="黑体"/>
          <w:sz w:val="32"/>
          <w:szCs w:val="36"/>
        </w:rPr>
      </w:pP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三、支出预算情况说明</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2024年支出预算合计</w:t>
      </w:r>
      <w:r>
        <w:rPr>
          <w:rFonts w:ascii="仿宋" w:eastAsia="仿宋" w:hAnsi="仿宋" w:cs="仿宋" w:hint="eastAsia"/>
          <w:sz w:val="32"/>
          <w:szCs w:val="32"/>
          <w:u w:val="single"/>
        </w:rPr>
        <w:t>2231.41</w:t>
      </w:r>
      <w:r>
        <w:rPr>
          <w:rFonts w:ascii="仿宋" w:eastAsia="仿宋" w:hAnsi="仿宋" w:cs="仿宋" w:hint="eastAsia"/>
          <w:sz w:val="32"/>
          <w:szCs w:val="32"/>
        </w:rPr>
        <w:t>万元，其中：</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基本支出</w:t>
      </w:r>
      <w:r>
        <w:rPr>
          <w:rFonts w:ascii="仿宋" w:eastAsia="仿宋" w:hAnsi="仿宋" w:cs="仿宋" w:hint="eastAsia"/>
          <w:sz w:val="32"/>
          <w:szCs w:val="32"/>
          <w:u w:val="single"/>
        </w:rPr>
        <w:t>1286.91</w:t>
      </w:r>
      <w:r>
        <w:rPr>
          <w:rFonts w:ascii="仿宋" w:eastAsia="仿宋" w:hAnsi="仿宋" w:cs="仿宋" w:hint="eastAsia"/>
          <w:sz w:val="32"/>
          <w:szCs w:val="32"/>
        </w:rPr>
        <w:t>万元，占</w:t>
      </w:r>
      <w:r>
        <w:rPr>
          <w:rFonts w:ascii="仿宋" w:eastAsia="仿宋" w:hAnsi="仿宋" w:cs="仿宋" w:hint="eastAsia"/>
          <w:sz w:val="32"/>
          <w:szCs w:val="32"/>
          <w:u w:val="single"/>
        </w:rPr>
        <w:t>58</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项目支出</w:t>
      </w:r>
      <w:r>
        <w:rPr>
          <w:rFonts w:ascii="仿宋" w:eastAsia="仿宋" w:hAnsi="仿宋" w:cs="仿宋" w:hint="eastAsia"/>
          <w:sz w:val="32"/>
          <w:szCs w:val="32"/>
          <w:u w:val="single"/>
        </w:rPr>
        <w:t>944.50</w:t>
      </w:r>
      <w:r>
        <w:rPr>
          <w:rFonts w:ascii="仿宋" w:eastAsia="仿宋" w:hAnsi="仿宋" w:cs="仿宋" w:hint="eastAsia"/>
          <w:sz w:val="32"/>
          <w:szCs w:val="32"/>
        </w:rPr>
        <w:t>万元，占</w:t>
      </w:r>
      <w:r>
        <w:rPr>
          <w:rFonts w:ascii="仿宋" w:eastAsia="仿宋" w:hAnsi="仿宋" w:cs="仿宋" w:hint="eastAsia"/>
          <w:sz w:val="32"/>
          <w:szCs w:val="32"/>
          <w:u w:val="single"/>
        </w:rPr>
        <w:t>42</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事业单位经营支出</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上缴上级支出</w:t>
      </w:r>
      <w:r>
        <w:rPr>
          <w:rFonts w:ascii="仿宋" w:eastAsia="仿宋" w:hAnsi="仿宋" w:cs="仿宋" w:hint="eastAsia"/>
          <w:sz w:val="32"/>
          <w:szCs w:val="32"/>
        </w:rPr>
        <w:tab/>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6"/>
        </w:rPr>
      </w:pPr>
      <w:r>
        <w:rPr>
          <w:rFonts w:ascii="仿宋" w:eastAsia="仿宋" w:hAnsi="仿宋" w:cs="仿宋" w:hint="eastAsia"/>
          <w:sz w:val="32"/>
          <w:szCs w:val="32"/>
        </w:rPr>
        <w:lastRenderedPageBreak/>
        <w:t>对附属单位补助支出</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CA7ED3">
      <w:pPr>
        <w:spacing w:line="600" w:lineRule="exact"/>
        <w:ind w:firstLineChars="200" w:firstLine="640"/>
        <w:outlineLvl w:val="0"/>
        <w:rPr>
          <w:rFonts w:eastAsia="黑体" w:cs="黑体"/>
          <w:sz w:val="32"/>
          <w:szCs w:val="36"/>
        </w:rPr>
      </w:pPr>
    </w:p>
    <w:p w:rsidR="00CA7ED3" w:rsidRDefault="001609BB">
      <w:pPr>
        <w:pStyle w:val="BodyTextFirstIndent21"/>
        <w:ind w:firstLine="640"/>
        <w:rPr>
          <w:rFonts w:eastAsia="黑体"/>
          <w:sz w:val="32"/>
          <w:szCs w:val="36"/>
        </w:rPr>
      </w:pPr>
      <w:r>
        <w:rPr>
          <w:rFonts w:eastAsia="黑体" w:hint="eastAsia"/>
          <w:noProof/>
          <w:sz w:val="32"/>
          <w:szCs w:val="36"/>
        </w:rPr>
        <w:drawing>
          <wp:inline distT="0" distB="0" distL="114300" distR="114300">
            <wp:extent cx="5080000" cy="41275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a:stretch>
                      <a:fillRect/>
                    </a:stretch>
                  </pic:blipFill>
                  <pic:spPr>
                    <a:xfrm>
                      <a:off x="0" y="0"/>
                      <a:ext cx="5080000" cy="4127500"/>
                    </a:xfrm>
                    <a:prstGeom prst="rect">
                      <a:avLst/>
                    </a:prstGeom>
                  </pic:spPr>
                </pic:pic>
              </a:graphicData>
            </a:graphic>
          </wp:inline>
        </w:drawing>
      </w:r>
    </w:p>
    <w:p w:rsidR="00CA7ED3" w:rsidRDefault="00CA7ED3">
      <w:pPr>
        <w:spacing w:line="600" w:lineRule="exact"/>
        <w:outlineLvl w:val="0"/>
        <w:rPr>
          <w:rFonts w:eastAsia="黑体" w:cs="黑体"/>
          <w:sz w:val="32"/>
          <w:szCs w:val="36"/>
        </w:rPr>
      </w:pP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四、财政拨款收支预算总体情况说明</w:t>
      </w:r>
    </w:p>
    <w:p w:rsidR="00CA7ED3" w:rsidRDefault="003F5705">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w:t>
      </w:r>
      <w:r w:rsidR="001609BB">
        <w:rPr>
          <w:rFonts w:ascii="仿宋" w:eastAsia="仿宋" w:hAnsi="仿宋" w:cs="仿宋" w:hint="eastAsia"/>
          <w:sz w:val="32"/>
          <w:szCs w:val="32"/>
          <w:u w:val="single"/>
        </w:rPr>
        <w:t>单位</w:t>
      </w:r>
      <w:r w:rsidR="001609BB">
        <w:rPr>
          <w:rFonts w:ascii="仿宋" w:eastAsia="仿宋" w:hAnsi="仿宋" w:cs="仿宋" w:hint="eastAsia"/>
          <w:sz w:val="32"/>
          <w:szCs w:val="32"/>
        </w:rPr>
        <w:t>2024年度财政拨款收、支总预算</w:t>
      </w:r>
      <w:r w:rsidR="001609BB">
        <w:rPr>
          <w:rFonts w:ascii="仿宋" w:eastAsia="仿宋" w:hAnsi="仿宋" w:cs="仿宋" w:hint="eastAsia"/>
          <w:sz w:val="32"/>
          <w:szCs w:val="32"/>
          <w:u w:val="single"/>
        </w:rPr>
        <w:t xml:space="preserve">     2231.41</w:t>
      </w:r>
      <w:r w:rsidR="001609BB">
        <w:rPr>
          <w:rFonts w:ascii="仿宋" w:eastAsia="仿宋" w:hAnsi="仿宋" w:cs="仿宋" w:hint="eastAsia"/>
          <w:sz w:val="32"/>
          <w:szCs w:val="32"/>
        </w:rPr>
        <w:t>万元。与上年相比，财政拨款收、支总计各减少</w:t>
      </w:r>
      <w:r w:rsidR="001609BB">
        <w:rPr>
          <w:rFonts w:ascii="仿宋" w:eastAsia="仿宋" w:hAnsi="仿宋" w:cs="仿宋" w:hint="eastAsia"/>
          <w:sz w:val="32"/>
          <w:szCs w:val="32"/>
          <w:u w:val="single"/>
        </w:rPr>
        <w:t>344.82</w:t>
      </w:r>
      <w:r w:rsidR="001609BB">
        <w:rPr>
          <w:rFonts w:ascii="仿宋" w:eastAsia="仿宋" w:hAnsi="仿宋" w:cs="仿宋" w:hint="eastAsia"/>
          <w:sz w:val="32"/>
          <w:szCs w:val="32"/>
        </w:rPr>
        <w:t>万元，减少</w:t>
      </w:r>
      <w:r w:rsidR="001609BB">
        <w:rPr>
          <w:rFonts w:ascii="仿宋" w:eastAsia="仿宋" w:hAnsi="仿宋" w:cs="仿宋" w:hint="eastAsia"/>
          <w:sz w:val="32"/>
          <w:szCs w:val="32"/>
          <w:u w:val="single"/>
        </w:rPr>
        <w:t>13.38</w:t>
      </w:r>
      <w:r w:rsidR="001609BB">
        <w:rPr>
          <w:rFonts w:ascii="仿宋" w:eastAsia="仿宋" w:hAnsi="仿宋" w:cs="仿宋" w:hint="eastAsia"/>
          <w:sz w:val="32"/>
          <w:szCs w:val="32"/>
        </w:rPr>
        <w:t>%。主要原因是本年全盟地方特色乳制品产业重点工作资金等专项减少和离休人员全部离世等。</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五、一般公共预算支出预算情况说明</w:t>
      </w:r>
    </w:p>
    <w:p w:rsidR="00CA7ED3" w:rsidRDefault="003F5705">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w:t>
      </w:r>
      <w:r w:rsidR="001609BB">
        <w:rPr>
          <w:rFonts w:ascii="仿宋" w:eastAsia="仿宋" w:hAnsi="仿宋" w:cs="仿宋" w:hint="eastAsia"/>
          <w:sz w:val="32"/>
          <w:szCs w:val="32"/>
          <w:u w:val="single"/>
        </w:rPr>
        <w:t>单位</w:t>
      </w:r>
      <w:r w:rsidR="001609BB">
        <w:rPr>
          <w:rFonts w:ascii="仿宋" w:eastAsia="仿宋" w:hAnsi="仿宋" w:cs="仿宋" w:hint="eastAsia"/>
          <w:sz w:val="32"/>
          <w:szCs w:val="32"/>
        </w:rPr>
        <w:t>2024年一般公共预算财政拨款支出预算</w:t>
      </w:r>
      <w:r w:rsidR="001609BB">
        <w:rPr>
          <w:rFonts w:ascii="仿宋" w:eastAsia="仿宋" w:hAnsi="仿宋" w:cs="仿宋" w:hint="eastAsia"/>
          <w:sz w:val="32"/>
          <w:szCs w:val="32"/>
          <w:u w:val="single"/>
        </w:rPr>
        <w:t>2231.41</w:t>
      </w:r>
      <w:r w:rsidR="001609BB">
        <w:rPr>
          <w:rFonts w:ascii="仿宋" w:eastAsia="仿宋" w:hAnsi="仿宋" w:cs="仿宋" w:hint="eastAsia"/>
          <w:sz w:val="32"/>
          <w:szCs w:val="32"/>
        </w:rPr>
        <w:t>万元，与上年相比减少</w:t>
      </w:r>
      <w:r w:rsidR="001609BB">
        <w:rPr>
          <w:rFonts w:ascii="仿宋" w:eastAsia="仿宋" w:hAnsi="仿宋" w:cs="仿宋" w:hint="eastAsia"/>
          <w:sz w:val="32"/>
          <w:szCs w:val="32"/>
          <w:u w:val="single"/>
        </w:rPr>
        <w:t>344.82</w:t>
      </w:r>
      <w:r w:rsidR="001609BB">
        <w:rPr>
          <w:rFonts w:ascii="仿宋" w:eastAsia="仿宋" w:hAnsi="仿宋" w:cs="仿宋" w:hint="eastAsia"/>
          <w:sz w:val="32"/>
          <w:szCs w:val="32"/>
        </w:rPr>
        <w:t>万元，减少</w:t>
      </w:r>
      <w:r w:rsidR="001609BB">
        <w:rPr>
          <w:rFonts w:ascii="仿宋" w:eastAsia="仿宋" w:hAnsi="仿宋" w:cs="仿宋" w:hint="eastAsia"/>
          <w:sz w:val="32"/>
          <w:szCs w:val="32"/>
          <w:u w:val="single"/>
        </w:rPr>
        <w:t>13.38</w:t>
      </w:r>
      <w:r w:rsidR="001609BB">
        <w:rPr>
          <w:rFonts w:ascii="仿宋" w:eastAsia="仿宋" w:hAnsi="仿宋" w:cs="仿宋" w:hint="eastAsia"/>
          <w:sz w:val="32"/>
          <w:szCs w:val="32"/>
        </w:rPr>
        <w:t>%。主要原因是本年全盟地方特色乳制品产业重点工作资金等专项减少和离休人员</w:t>
      </w:r>
      <w:r w:rsidR="001609BB">
        <w:rPr>
          <w:rFonts w:ascii="仿宋" w:eastAsia="仿宋" w:hAnsi="仿宋" w:cs="仿宋" w:hint="eastAsia"/>
          <w:sz w:val="32"/>
          <w:szCs w:val="32"/>
        </w:rPr>
        <w:lastRenderedPageBreak/>
        <w:t>全部离世等。</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（一）一般公共服务（类）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1.发展与改革事务（款）一般行政管理事务（项）——2010402。年初预算</w:t>
      </w:r>
      <w:r>
        <w:rPr>
          <w:rFonts w:ascii="仿宋" w:eastAsia="仿宋" w:hAnsi="仿宋" w:cs="仿宋" w:hint="eastAsia"/>
          <w:sz w:val="32"/>
          <w:szCs w:val="32"/>
          <w:u w:val="single"/>
        </w:rPr>
        <w:t>4.01</w:t>
      </w:r>
      <w:r>
        <w:rPr>
          <w:rFonts w:ascii="仿宋" w:eastAsia="仿宋" w:hAnsi="仿宋" w:cs="仿宋" w:hint="eastAsia"/>
          <w:sz w:val="32"/>
          <w:szCs w:val="32"/>
        </w:rPr>
        <w:t>万元，与上年相比增加</w:t>
      </w:r>
      <w:r>
        <w:rPr>
          <w:rFonts w:ascii="仿宋" w:eastAsia="仿宋" w:hAnsi="仿宋" w:cs="仿宋" w:hint="eastAsia"/>
          <w:sz w:val="32"/>
          <w:szCs w:val="32"/>
          <w:u w:val="single"/>
        </w:rPr>
        <w:t>4.01</w:t>
      </w:r>
      <w:r>
        <w:rPr>
          <w:rFonts w:ascii="仿宋" w:eastAsia="仿宋" w:hAnsi="仿宋" w:cs="仿宋" w:hint="eastAsia"/>
          <w:sz w:val="32"/>
          <w:szCs w:val="32"/>
        </w:rPr>
        <w:t>万元。变动原因：2023年追加的盟级招商引资项目资金结转至2024年。</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2.财政事务（款）其他财政事务支出（项）——2010699。年初预算</w:t>
      </w:r>
      <w:r>
        <w:rPr>
          <w:rFonts w:ascii="仿宋" w:eastAsia="仿宋" w:hAnsi="仿宋" w:cs="仿宋" w:hint="eastAsia"/>
          <w:sz w:val="32"/>
          <w:szCs w:val="32"/>
          <w:u w:val="single"/>
        </w:rPr>
        <w:t>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3</w:t>
      </w:r>
      <w:r>
        <w:rPr>
          <w:rFonts w:ascii="仿宋" w:eastAsia="仿宋" w:hAnsi="仿宋" w:cs="仿宋" w:hint="eastAsia"/>
          <w:sz w:val="32"/>
          <w:szCs w:val="32"/>
        </w:rPr>
        <w:t>万元，减少</w:t>
      </w:r>
      <w:r>
        <w:rPr>
          <w:rFonts w:ascii="仿宋" w:eastAsia="仿宋" w:hAnsi="仿宋" w:cs="仿宋" w:hint="eastAsia"/>
          <w:sz w:val="32"/>
          <w:szCs w:val="32"/>
          <w:u w:val="single"/>
        </w:rPr>
        <w:t>75%</w:t>
      </w:r>
      <w:r>
        <w:rPr>
          <w:rFonts w:ascii="仿宋" w:eastAsia="仿宋" w:hAnsi="仿宋" w:cs="仿宋" w:hint="eastAsia"/>
          <w:sz w:val="32"/>
          <w:szCs w:val="32"/>
        </w:rPr>
        <w:t>。变动原因：2022年政策性农业保险试点地区推动工作经费较上年减少。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3.组织事务（款）其他组织事务支出（项）——2013299。年初预算</w:t>
      </w:r>
      <w:r>
        <w:rPr>
          <w:rFonts w:ascii="仿宋" w:eastAsia="仿宋" w:hAnsi="仿宋" w:cs="仿宋" w:hint="eastAsia"/>
          <w:sz w:val="32"/>
          <w:szCs w:val="32"/>
          <w:u w:val="single"/>
        </w:rPr>
        <w:t>0.5</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1.5</w:t>
      </w:r>
      <w:r>
        <w:rPr>
          <w:rFonts w:ascii="仿宋" w:eastAsia="仿宋" w:hAnsi="仿宋" w:cs="仿宋" w:hint="eastAsia"/>
          <w:sz w:val="32"/>
          <w:szCs w:val="32"/>
        </w:rPr>
        <w:t>万元，减少</w:t>
      </w:r>
      <w:r>
        <w:rPr>
          <w:rFonts w:ascii="仿宋" w:eastAsia="仿宋" w:hAnsi="仿宋" w:cs="仿宋" w:hint="eastAsia"/>
          <w:sz w:val="32"/>
          <w:szCs w:val="32"/>
          <w:u w:val="single"/>
        </w:rPr>
        <w:t>75</w:t>
      </w:r>
      <w:r>
        <w:rPr>
          <w:rFonts w:ascii="仿宋" w:eastAsia="仿宋" w:hAnsi="仿宋" w:cs="仿宋" w:hint="eastAsia"/>
          <w:sz w:val="32"/>
          <w:szCs w:val="32"/>
        </w:rPr>
        <w:t>%。变动原因：万名专家人才服务基层工作经费较上年减少。</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（二）科学技术支出（类）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1.基础研究（款）专项技术基础（项）——2060207。年初预算</w:t>
      </w:r>
      <w:r>
        <w:rPr>
          <w:rFonts w:ascii="仿宋" w:eastAsia="仿宋" w:hAnsi="仿宋" w:cs="仿宋" w:hint="eastAsia"/>
          <w:sz w:val="32"/>
          <w:szCs w:val="32"/>
          <w:u w:val="single"/>
        </w:rPr>
        <w:t>200</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200</w:t>
      </w:r>
      <w:r>
        <w:rPr>
          <w:rFonts w:ascii="仿宋" w:eastAsia="仿宋" w:hAnsi="仿宋" w:cs="仿宋" w:hint="eastAsia"/>
          <w:sz w:val="32"/>
          <w:szCs w:val="32"/>
        </w:rPr>
        <w:t>万元。变动原因：华西牛持续选育与良种推广技术服务工作经费从农林水支出调剂到此科目。</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（三）社会保障和就业支出（类）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1.人力资源和社会保障管理事务（款）一般行政管理事务（项）——2080102。年初预算</w:t>
      </w:r>
      <w:r>
        <w:rPr>
          <w:rFonts w:ascii="仿宋" w:eastAsia="仿宋" w:hAnsi="仿宋" w:cs="仿宋" w:hint="eastAsia"/>
          <w:sz w:val="32"/>
          <w:szCs w:val="32"/>
          <w:u w:val="single"/>
        </w:rPr>
        <w:t>0.33</w:t>
      </w:r>
      <w:r>
        <w:rPr>
          <w:rFonts w:ascii="仿宋" w:eastAsia="仿宋" w:hAnsi="仿宋" w:cs="仿宋" w:hint="eastAsia"/>
          <w:sz w:val="32"/>
          <w:szCs w:val="32"/>
        </w:rPr>
        <w:t>万元，与上年相比增加</w:t>
      </w:r>
      <w:r>
        <w:rPr>
          <w:rFonts w:ascii="仿宋" w:eastAsia="仿宋" w:hAnsi="仿宋" w:cs="仿宋" w:hint="eastAsia"/>
          <w:sz w:val="32"/>
          <w:szCs w:val="32"/>
          <w:u w:val="single"/>
        </w:rPr>
        <w:t>0.33</w:t>
      </w:r>
      <w:r>
        <w:rPr>
          <w:rFonts w:ascii="仿宋" w:eastAsia="仿宋" w:hAnsi="仿宋" w:cs="仿宋" w:hint="eastAsia"/>
          <w:sz w:val="32"/>
          <w:szCs w:val="32"/>
        </w:rPr>
        <w:t>万元。变动原因：盟级职称评审成本性支出经费较上年减少。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2.人力资源和社会保障管理事务（款）其他人力资源和社会保障管理事务支出（项）——2080199。年初预算</w:t>
      </w:r>
      <w:r>
        <w:rPr>
          <w:rFonts w:ascii="仿宋" w:eastAsia="仿宋" w:hAnsi="仿宋" w:cs="仿宋" w:hint="eastAsia"/>
          <w:sz w:val="32"/>
          <w:szCs w:val="32"/>
          <w:u w:val="single"/>
        </w:rPr>
        <w:t>17.74</w:t>
      </w:r>
      <w:r>
        <w:rPr>
          <w:rFonts w:ascii="仿宋" w:eastAsia="仿宋" w:hAnsi="仿宋" w:cs="仿宋" w:hint="eastAsia"/>
          <w:sz w:val="32"/>
          <w:szCs w:val="32"/>
        </w:rPr>
        <w:t>万元，与上年相比减少</w:t>
      </w:r>
      <w:r>
        <w:rPr>
          <w:rFonts w:ascii="仿宋" w:eastAsia="仿宋" w:hAnsi="仿宋" w:cs="仿宋" w:hint="eastAsia"/>
          <w:sz w:val="32"/>
          <w:szCs w:val="32"/>
          <w:u w:val="single"/>
        </w:rPr>
        <w:t>27.26</w:t>
      </w:r>
      <w:r>
        <w:rPr>
          <w:rFonts w:ascii="仿宋" w:eastAsia="仿宋" w:hAnsi="仿宋" w:cs="仿宋" w:hint="eastAsia"/>
          <w:sz w:val="32"/>
          <w:szCs w:val="32"/>
        </w:rPr>
        <w:t>万元，减少</w:t>
      </w:r>
      <w:r>
        <w:rPr>
          <w:rFonts w:ascii="仿宋" w:eastAsia="仿宋" w:hAnsi="仿宋" w:cs="仿宋" w:hint="eastAsia"/>
          <w:sz w:val="32"/>
          <w:szCs w:val="32"/>
          <w:u w:val="single"/>
        </w:rPr>
        <w:t>60.57</w:t>
      </w:r>
      <w:r>
        <w:rPr>
          <w:rFonts w:ascii="仿宋" w:eastAsia="仿宋" w:hAnsi="仿宋" w:cs="仿宋" w:hint="eastAsia"/>
          <w:sz w:val="32"/>
          <w:szCs w:val="32"/>
        </w:rPr>
        <w:t xml:space="preserve"> %。变动原因：1230人才培养工程工作经费较上年减少。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3.行政事业单位养老支出（款）行政单位离退休（项）——2080501。年初预算</w:t>
      </w:r>
      <w:r>
        <w:rPr>
          <w:rFonts w:ascii="仿宋" w:eastAsia="仿宋" w:hAnsi="仿宋" w:cs="仿宋" w:hint="eastAsia"/>
          <w:sz w:val="32"/>
          <w:szCs w:val="32"/>
          <w:u w:val="single"/>
        </w:rPr>
        <w:t>96.26</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42.93</w:t>
      </w:r>
      <w:r>
        <w:rPr>
          <w:rFonts w:ascii="仿宋" w:eastAsia="仿宋" w:hAnsi="仿宋" w:cs="仿宋" w:hint="eastAsia"/>
          <w:sz w:val="32"/>
          <w:szCs w:val="32"/>
        </w:rPr>
        <w:t>万元，减少</w:t>
      </w:r>
      <w:r>
        <w:rPr>
          <w:rFonts w:ascii="仿宋" w:eastAsia="仿宋" w:hAnsi="仿宋" w:cs="仿宋" w:hint="eastAsia"/>
          <w:sz w:val="32"/>
          <w:szCs w:val="32"/>
          <w:u w:val="single"/>
        </w:rPr>
        <w:t>30.84</w:t>
      </w:r>
      <w:r>
        <w:rPr>
          <w:rFonts w:ascii="仿宋" w:eastAsia="仿宋" w:hAnsi="仿宋" w:cs="仿宋" w:hint="eastAsia"/>
          <w:sz w:val="32"/>
          <w:szCs w:val="32"/>
        </w:rPr>
        <w:t xml:space="preserve"> %。变动原因：2023年4名离休人员相继离世。</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4.行政事业单位养老支出（款）机关事业单位基本养老保险缴费支出（项）——2080505。年初预算</w:t>
      </w:r>
      <w:r>
        <w:rPr>
          <w:rFonts w:ascii="仿宋" w:eastAsia="仿宋" w:hAnsi="仿宋" w:cs="仿宋" w:hint="eastAsia"/>
          <w:sz w:val="32"/>
          <w:szCs w:val="32"/>
          <w:u w:val="single"/>
        </w:rPr>
        <w:t>83.02</w:t>
      </w:r>
      <w:r>
        <w:rPr>
          <w:rFonts w:ascii="仿宋" w:eastAsia="仿宋" w:hAnsi="仿宋" w:cs="仿宋" w:hint="eastAsia"/>
          <w:sz w:val="32"/>
          <w:szCs w:val="32"/>
        </w:rPr>
        <w:t>万元，与上年相比增加</w:t>
      </w:r>
      <w:r>
        <w:rPr>
          <w:rFonts w:ascii="仿宋" w:eastAsia="仿宋" w:hAnsi="仿宋" w:cs="仿宋" w:hint="eastAsia"/>
          <w:sz w:val="32"/>
          <w:szCs w:val="32"/>
          <w:u w:val="single"/>
        </w:rPr>
        <w:t>1.87</w:t>
      </w:r>
      <w:r>
        <w:rPr>
          <w:rFonts w:ascii="仿宋" w:eastAsia="仿宋" w:hAnsi="仿宋" w:cs="仿宋" w:hint="eastAsia"/>
          <w:sz w:val="32"/>
          <w:szCs w:val="32"/>
        </w:rPr>
        <w:t>万元，增加</w:t>
      </w:r>
      <w:r>
        <w:rPr>
          <w:rFonts w:ascii="仿宋" w:eastAsia="仿宋" w:hAnsi="仿宋" w:cs="仿宋" w:hint="eastAsia"/>
          <w:sz w:val="32"/>
          <w:szCs w:val="32"/>
          <w:u w:val="single"/>
        </w:rPr>
        <w:t>2.3</w:t>
      </w:r>
      <w:r>
        <w:rPr>
          <w:rFonts w:ascii="仿宋" w:eastAsia="仿宋" w:hAnsi="仿宋" w:cs="仿宋" w:hint="eastAsia"/>
          <w:sz w:val="32"/>
          <w:szCs w:val="32"/>
        </w:rPr>
        <w:t>%。变动原因：2023年度在职人员工资调整，导致单位部分机关养老保险基数增大。</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5.行政事业单位养老支出（款）机关事业单位职业年金缴费支出（项）——2080506。年初预算</w:t>
      </w:r>
      <w:r>
        <w:rPr>
          <w:rFonts w:ascii="仿宋" w:eastAsia="仿宋" w:hAnsi="仿宋" w:cs="仿宋" w:hint="eastAsia"/>
          <w:sz w:val="32"/>
          <w:szCs w:val="32"/>
          <w:u w:val="single"/>
        </w:rPr>
        <w:t>37</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22</w:t>
      </w:r>
      <w:r>
        <w:rPr>
          <w:rFonts w:ascii="仿宋" w:eastAsia="仿宋" w:hAnsi="仿宋" w:cs="仿宋" w:hint="eastAsia"/>
          <w:sz w:val="32"/>
          <w:szCs w:val="32"/>
        </w:rPr>
        <w:t>万元，增加</w:t>
      </w:r>
      <w:r>
        <w:rPr>
          <w:rFonts w:ascii="仿宋" w:eastAsia="仿宋" w:hAnsi="仿宋" w:cs="仿宋" w:hint="eastAsia"/>
          <w:sz w:val="32"/>
          <w:szCs w:val="32"/>
          <w:u w:val="single"/>
        </w:rPr>
        <w:t>146.67</w:t>
      </w:r>
      <w:r>
        <w:rPr>
          <w:rFonts w:ascii="仿宋" w:eastAsia="仿宋" w:hAnsi="仿宋" w:cs="仿宋" w:hint="eastAsia"/>
          <w:sz w:val="32"/>
          <w:szCs w:val="32"/>
        </w:rPr>
        <w:t>%。变动原因：2024年度退休3名人员，做实职业年金。</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（四）卫生健康支出（类）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1.行政事业单位医疗（款）行政单位医疗（项）——2101101。年初预算</w:t>
      </w:r>
      <w:r>
        <w:rPr>
          <w:rFonts w:ascii="仿宋" w:eastAsia="仿宋" w:hAnsi="仿宋" w:cs="仿宋" w:hint="eastAsia"/>
          <w:sz w:val="32"/>
          <w:szCs w:val="32"/>
          <w:u w:val="single"/>
        </w:rPr>
        <w:t>97.94</w:t>
      </w:r>
      <w:r>
        <w:rPr>
          <w:rFonts w:ascii="仿宋" w:eastAsia="仿宋" w:hAnsi="仿宋" w:cs="仿宋" w:hint="eastAsia"/>
          <w:sz w:val="32"/>
          <w:szCs w:val="32"/>
        </w:rPr>
        <w:t>万元，与上年相比增加</w:t>
      </w:r>
      <w:r>
        <w:rPr>
          <w:rFonts w:ascii="仿宋" w:eastAsia="仿宋" w:hAnsi="仿宋" w:cs="仿宋" w:hint="eastAsia"/>
          <w:sz w:val="32"/>
          <w:szCs w:val="32"/>
          <w:u w:val="single"/>
        </w:rPr>
        <w:t>7.71</w:t>
      </w:r>
      <w:r>
        <w:rPr>
          <w:rFonts w:ascii="仿宋" w:eastAsia="仿宋" w:hAnsi="仿宋" w:cs="仿宋" w:hint="eastAsia"/>
          <w:sz w:val="32"/>
          <w:szCs w:val="32"/>
        </w:rPr>
        <w:t>万元，增加</w:t>
      </w:r>
      <w:r>
        <w:rPr>
          <w:rFonts w:ascii="仿宋" w:eastAsia="仿宋" w:hAnsi="仿宋" w:cs="仿宋" w:hint="eastAsia"/>
          <w:sz w:val="32"/>
          <w:szCs w:val="32"/>
          <w:u w:val="single"/>
        </w:rPr>
        <w:t>8.55</w:t>
      </w:r>
      <w:r>
        <w:rPr>
          <w:rFonts w:ascii="仿宋" w:eastAsia="仿宋" w:hAnsi="仿宋" w:cs="仿宋" w:hint="eastAsia"/>
          <w:sz w:val="32"/>
          <w:szCs w:val="32"/>
        </w:rPr>
        <w:t>%。变动原因：2023年度在职人员工资调整，导致单位部分行政单位医疗基数增大。</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2.行政事业单位医疗（款）公务员医疗补助（项）——2101103。年初预算</w:t>
      </w:r>
      <w:r>
        <w:rPr>
          <w:rFonts w:ascii="仿宋" w:eastAsia="仿宋" w:hAnsi="仿宋" w:cs="仿宋" w:hint="eastAsia"/>
          <w:sz w:val="32"/>
          <w:szCs w:val="32"/>
          <w:u w:val="single"/>
        </w:rPr>
        <w:t>4.8</w:t>
      </w:r>
      <w:r>
        <w:rPr>
          <w:rFonts w:ascii="仿宋" w:eastAsia="仿宋" w:hAnsi="仿宋" w:cs="仿宋" w:hint="eastAsia"/>
          <w:sz w:val="32"/>
          <w:szCs w:val="32"/>
        </w:rPr>
        <w:t>万元，与上年相比减少</w:t>
      </w:r>
      <w:r>
        <w:rPr>
          <w:rFonts w:ascii="仿宋" w:eastAsia="仿宋" w:hAnsi="仿宋" w:cs="仿宋" w:hint="eastAsia"/>
          <w:sz w:val="32"/>
          <w:szCs w:val="32"/>
          <w:u w:val="single"/>
        </w:rPr>
        <w:t>8.64</w:t>
      </w:r>
      <w:r>
        <w:rPr>
          <w:rFonts w:ascii="仿宋" w:eastAsia="仿宋" w:hAnsi="仿宋" w:cs="仿宋" w:hint="eastAsia"/>
          <w:sz w:val="32"/>
          <w:szCs w:val="32"/>
        </w:rPr>
        <w:t>万元，减少</w:t>
      </w:r>
      <w:r>
        <w:rPr>
          <w:rFonts w:ascii="仿宋" w:eastAsia="仿宋" w:hAnsi="仿宋" w:cs="仿宋" w:hint="eastAsia"/>
          <w:sz w:val="32"/>
          <w:szCs w:val="32"/>
          <w:u w:val="single"/>
        </w:rPr>
        <w:t>64.26</w:t>
      </w:r>
      <w:r>
        <w:rPr>
          <w:rFonts w:ascii="仿宋" w:eastAsia="仿宋" w:hAnsi="仿宋" w:cs="仿宋" w:hint="eastAsia"/>
          <w:sz w:val="32"/>
          <w:szCs w:val="32"/>
        </w:rPr>
        <w:t>%。变动原因：本年度退休人员单位部分公务员医补减少。</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（五）农林水支出（类）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1.农业农村（款）行政运行（项）——2130101。年初预算</w:t>
      </w:r>
      <w:r>
        <w:rPr>
          <w:rFonts w:ascii="仿宋" w:eastAsia="仿宋" w:hAnsi="仿宋" w:cs="仿宋" w:hint="eastAsia"/>
          <w:sz w:val="32"/>
          <w:szCs w:val="32"/>
          <w:u w:val="single"/>
        </w:rPr>
        <w:t>864.24</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41.68</w:t>
      </w:r>
      <w:r>
        <w:rPr>
          <w:rFonts w:ascii="仿宋" w:eastAsia="仿宋" w:hAnsi="仿宋" w:cs="仿宋" w:hint="eastAsia"/>
          <w:sz w:val="32"/>
          <w:szCs w:val="32"/>
        </w:rPr>
        <w:t>万元，减少</w:t>
      </w:r>
      <w:r>
        <w:rPr>
          <w:rFonts w:ascii="仿宋" w:eastAsia="仿宋" w:hAnsi="仿宋" w:cs="仿宋" w:hint="eastAsia"/>
          <w:sz w:val="32"/>
          <w:szCs w:val="32"/>
          <w:u w:val="single"/>
        </w:rPr>
        <w:t>4.6</w:t>
      </w:r>
      <w:r>
        <w:rPr>
          <w:rFonts w:ascii="仿宋" w:eastAsia="仿宋" w:hAnsi="仿宋" w:cs="仿宋" w:hint="eastAsia"/>
          <w:sz w:val="32"/>
          <w:szCs w:val="32"/>
        </w:rPr>
        <w:t>%。变动原因：本年度3名在职人员退休，导致人员经费、公用经费减少。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2.农业农村（款）一般行政管理事务（项）——2130102。年初预</w:t>
      </w:r>
      <w:r>
        <w:rPr>
          <w:rFonts w:ascii="仿宋" w:eastAsia="仿宋" w:hAnsi="仿宋" w:cs="仿宋" w:hint="eastAsia"/>
          <w:sz w:val="32"/>
          <w:szCs w:val="32"/>
        </w:rPr>
        <w:lastRenderedPageBreak/>
        <w:t>算</w:t>
      </w:r>
      <w:r>
        <w:rPr>
          <w:rFonts w:ascii="仿宋" w:eastAsia="仿宋" w:hAnsi="仿宋" w:cs="仿宋" w:hint="eastAsia"/>
          <w:sz w:val="32"/>
          <w:szCs w:val="32"/>
          <w:u w:val="single"/>
        </w:rPr>
        <w:t>219.71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36.48</w:t>
      </w:r>
      <w:r>
        <w:rPr>
          <w:rFonts w:ascii="仿宋" w:eastAsia="仿宋" w:hAnsi="仿宋" w:cs="仿宋" w:hint="eastAsia"/>
          <w:sz w:val="32"/>
          <w:szCs w:val="32"/>
        </w:rPr>
        <w:t>万元，减少</w:t>
      </w:r>
      <w:r>
        <w:rPr>
          <w:rFonts w:ascii="仿宋" w:eastAsia="仿宋" w:hAnsi="仿宋" w:cs="仿宋" w:hint="eastAsia"/>
          <w:sz w:val="32"/>
          <w:szCs w:val="32"/>
          <w:u w:val="single"/>
        </w:rPr>
        <w:t>14.24</w:t>
      </w:r>
      <w:r>
        <w:rPr>
          <w:rFonts w:ascii="仿宋" w:eastAsia="仿宋" w:hAnsi="仿宋" w:cs="仿宋" w:hint="eastAsia"/>
          <w:sz w:val="32"/>
          <w:szCs w:val="32"/>
        </w:rPr>
        <w:t>%。变动原因：盟本级专项预算减少。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3.农业农村（款）科技转化与推广服务（项）——2130106。年初预算</w:t>
      </w:r>
      <w:r>
        <w:rPr>
          <w:rFonts w:ascii="仿宋" w:eastAsia="仿宋" w:hAnsi="仿宋" w:cs="仿宋" w:hint="eastAsia"/>
          <w:sz w:val="32"/>
          <w:szCs w:val="32"/>
          <w:u w:val="single"/>
        </w:rPr>
        <w:t>7.30</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4.54</w:t>
      </w:r>
      <w:r>
        <w:rPr>
          <w:rFonts w:ascii="仿宋" w:eastAsia="仿宋" w:hAnsi="仿宋" w:cs="仿宋" w:hint="eastAsia"/>
          <w:sz w:val="32"/>
          <w:szCs w:val="32"/>
        </w:rPr>
        <w:t>万元，减少</w:t>
      </w:r>
      <w:r>
        <w:rPr>
          <w:rFonts w:ascii="仿宋" w:eastAsia="仿宋" w:hAnsi="仿宋" w:cs="仿宋" w:hint="eastAsia"/>
          <w:sz w:val="32"/>
          <w:szCs w:val="32"/>
          <w:u w:val="single"/>
        </w:rPr>
        <w:t>38.34</w:t>
      </w:r>
      <w:r>
        <w:rPr>
          <w:rFonts w:ascii="仿宋" w:eastAsia="仿宋" w:hAnsi="仿宋" w:cs="仿宋" w:hint="eastAsia"/>
          <w:sz w:val="32"/>
          <w:szCs w:val="32"/>
        </w:rPr>
        <w:t>%。变动原因：种植业良法推广经费（本级）等项目预算减少。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4.农业农村（款）病虫害控制（项）——2130108。年初预算</w:t>
      </w:r>
      <w:r>
        <w:rPr>
          <w:rFonts w:ascii="仿宋" w:eastAsia="仿宋" w:hAnsi="仿宋" w:cs="仿宋" w:hint="eastAsia"/>
          <w:sz w:val="32"/>
          <w:szCs w:val="32"/>
          <w:u w:val="single"/>
        </w:rPr>
        <w:t>1.48</w:t>
      </w:r>
      <w:r>
        <w:rPr>
          <w:rFonts w:ascii="仿宋" w:eastAsia="仿宋" w:hAnsi="仿宋" w:cs="仿宋" w:hint="eastAsia"/>
          <w:sz w:val="32"/>
          <w:szCs w:val="32"/>
        </w:rPr>
        <w:t>万元，与上年相比减少</w:t>
      </w:r>
      <w:r>
        <w:rPr>
          <w:rFonts w:ascii="仿宋" w:eastAsia="仿宋" w:hAnsi="仿宋" w:cs="仿宋" w:hint="eastAsia"/>
          <w:sz w:val="32"/>
          <w:szCs w:val="32"/>
          <w:u w:val="single"/>
        </w:rPr>
        <w:t>7.10</w:t>
      </w:r>
      <w:r>
        <w:rPr>
          <w:rFonts w:ascii="仿宋" w:eastAsia="仿宋" w:hAnsi="仿宋" w:cs="仿宋" w:hint="eastAsia"/>
          <w:sz w:val="32"/>
          <w:szCs w:val="32"/>
        </w:rPr>
        <w:t>万元，减少</w:t>
      </w:r>
      <w:r>
        <w:rPr>
          <w:rFonts w:ascii="仿宋" w:eastAsia="仿宋" w:hAnsi="仿宋" w:cs="仿宋" w:hint="eastAsia"/>
          <w:sz w:val="32"/>
          <w:szCs w:val="32"/>
          <w:u w:val="single"/>
        </w:rPr>
        <w:t>82.74</w:t>
      </w:r>
      <w:r>
        <w:rPr>
          <w:rFonts w:ascii="仿宋" w:eastAsia="仿宋" w:hAnsi="仿宋" w:cs="仿宋" w:hint="eastAsia"/>
          <w:sz w:val="32"/>
          <w:szCs w:val="32"/>
        </w:rPr>
        <w:t>%。变动原因：强制扑杀免疫及养殖环节无害化处理补助（本级）等项目预算减少。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5.农业农村（款）农产品质量安全（项）——2130109。年初预算</w:t>
      </w:r>
      <w:r>
        <w:rPr>
          <w:rFonts w:ascii="仿宋" w:eastAsia="仿宋" w:hAnsi="仿宋" w:cs="仿宋" w:hint="eastAsia"/>
          <w:sz w:val="32"/>
          <w:szCs w:val="32"/>
          <w:u w:val="single"/>
        </w:rPr>
        <w:t>38.03</w:t>
      </w:r>
      <w:r>
        <w:rPr>
          <w:rFonts w:ascii="仿宋" w:eastAsia="仿宋" w:hAnsi="仿宋" w:cs="仿宋" w:hint="eastAsia"/>
          <w:sz w:val="32"/>
          <w:szCs w:val="32"/>
        </w:rPr>
        <w:t>万元，与上年相比减少</w:t>
      </w:r>
      <w:r>
        <w:rPr>
          <w:rFonts w:ascii="仿宋" w:eastAsia="仿宋" w:hAnsi="仿宋" w:cs="仿宋" w:hint="eastAsia"/>
          <w:sz w:val="32"/>
          <w:szCs w:val="32"/>
          <w:u w:val="single"/>
        </w:rPr>
        <w:t>27.48</w:t>
      </w:r>
      <w:r>
        <w:rPr>
          <w:rFonts w:ascii="仿宋" w:eastAsia="仿宋" w:hAnsi="仿宋" w:cs="仿宋" w:hint="eastAsia"/>
          <w:sz w:val="32"/>
          <w:szCs w:val="32"/>
        </w:rPr>
        <w:t>万元，减少</w:t>
      </w:r>
      <w:r>
        <w:rPr>
          <w:rFonts w:ascii="仿宋" w:eastAsia="仿宋" w:hAnsi="仿宋" w:cs="仿宋" w:hint="eastAsia"/>
          <w:sz w:val="32"/>
          <w:szCs w:val="32"/>
          <w:u w:val="single"/>
        </w:rPr>
        <w:t>41.94</w:t>
      </w:r>
      <w:r>
        <w:rPr>
          <w:rFonts w:ascii="仿宋" w:eastAsia="仿宋" w:hAnsi="仿宋" w:cs="仿宋" w:hint="eastAsia"/>
          <w:sz w:val="32"/>
          <w:szCs w:val="32"/>
        </w:rPr>
        <w:t>%。变动原因：聘请第三方机构开展重点领域重点企业安全评估检查经费等项目预算减少。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6.农业农村（款）行业业务管理（项）——2130112。年初预算</w:t>
      </w:r>
      <w:r>
        <w:rPr>
          <w:rFonts w:ascii="仿宋" w:eastAsia="仿宋" w:hAnsi="仿宋" w:cs="仿宋" w:hint="eastAsia"/>
          <w:sz w:val="32"/>
          <w:szCs w:val="32"/>
          <w:u w:val="single"/>
        </w:rPr>
        <w:t>2.30</w:t>
      </w:r>
      <w:r>
        <w:rPr>
          <w:rFonts w:ascii="仿宋" w:eastAsia="仿宋" w:hAnsi="仿宋" w:cs="仿宋" w:hint="eastAsia"/>
          <w:sz w:val="32"/>
          <w:szCs w:val="32"/>
        </w:rPr>
        <w:t>万元，与上年相比减少</w:t>
      </w:r>
      <w:r>
        <w:rPr>
          <w:rFonts w:ascii="仿宋" w:eastAsia="仿宋" w:hAnsi="仿宋" w:cs="仿宋" w:hint="eastAsia"/>
          <w:sz w:val="32"/>
          <w:szCs w:val="32"/>
          <w:u w:val="single"/>
        </w:rPr>
        <w:t>8.86</w:t>
      </w:r>
      <w:r>
        <w:rPr>
          <w:rFonts w:ascii="仿宋" w:eastAsia="仿宋" w:hAnsi="仿宋" w:cs="仿宋" w:hint="eastAsia"/>
          <w:sz w:val="32"/>
          <w:szCs w:val="32"/>
        </w:rPr>
        <w:t>万元，减少</w:t>
      </w:r>
      <w:r>
        <w:rPr>
          <w:rFonts w:ascii="仿宋" w:eastAsia="仿宋" w:hAnsi="仿宋" w:cs="仿宋" w:hint="eastAsia"/>
          <w:sz w:val="32"/>
          <w:szCs w:val="32"/>
          <w:u w:val="single"/>
        </w:rPr>
        <w:t>79.35</w:t>
      </w:r>
      <w:r>
        <w:rPr>
          <w:rFonts w:ascii="仿宋" w:eastAsia="仿宋" w:hAnsi="仿宋" w:cs="仿宋" w:hint="eastAsia"/>
          <w:sz w:val="32"/>
          <w:szCs w:val="32"/>
        </w:rPr>
        <w:t>%。变动原因：高标准农田项目管理与管护费项目预算减少。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7.农业农村（款）农业生产发展（项）——2130122。年初预算</w:t>
      </w:r>
      <w:r>
        <w:rPr>
          <w:rFonts w:ascii="仿宋" w:eastAsia="仿宋" w:hAnsi="仿宋" w:cs="仿宋" w:hint="eastAsia"/>
          <w:sz w:val="32"/>
          <w:szCs w:val="32"/>
          <w:u w:val="single"/>
        </w:rPr>
        <w:t>406.55</w:t>
      </w:r>
      <w:r>
        <w:rPr>
          <w:rFonts w:ascii="仿宋" w:eastAsia="仿宋" w:hAnsi="仿宋" w:cs="仿宋" w:hint="eastAsia"/>
          <w:sz w:val="32"/>
          <w:szCs w:val="32"/>
        </w:rPr>
        <w:t>万元，与上年相比减少</w:t>
      </w:r>
      <w:r>
        <w:rPr>
          <w:rFonts w:ascii="仿宋" w:eastAsia="仿宋" w:hAnsi="仿宋" w:cs="仿宋" w:hint="eastAsia"/>
          <w:sz w:val="32"/>
          <w:szCs w:val="32"/>
          <w:u w:val="single"/>
        </w:rPr>
        <w:t>283</w:t>
      </w:r>
      <w:r>
        <w:rPr>
          <w:rFonts w:ascii="仿宋" w:eastAsia="仿宋" w:hAnsi="仿宋" w:cs="仿宋" w:hint="eastAsia"/>
          <w:sz w:val="32"/>
          <w:szCs w:val="32"/>
        </w:rPr>
        <w:t>万元，减少</w:t>
      </w:r>
      <w:r>
        <w:rPr>
          <w:rFonts w:ascii="仿宋" w:eastAsia="仿宋" w:hAnsi="仿宋" w:cs="仿宋" w:hint="eastAsia"/>
          <w:sz w:val="32"/>
          <w:szCs w:val="32"/>
          <w:u w:val="single"/>
        </w:rPr>
        <w:t>41.04</w:t>
      </w:r>
      <w:r>
        <w:rPr>
          <w:rFonts w:ascii="仿宋" w:eastAsia="仿宋" w:hAnsi="仿宋" w:cs="仿宋" w:hint="eastAsia"/>
          <w:sz w:val="32"/>
          <w:szCs w:val="32"/>
        </w:rPr>
        <w:t>%。变动原因：全盟地方特色乳制品产业重点工作资金等项目预算减少。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8.农业农村（款）农产品加工与促销（项）——2130125。年初预算</w:t>
      </w:r>
      <w:r>
        <w:rPr>
          <w:rFonts w:ascii="仿宋" w:eastAsia="仿宋" w:hAnsi="仿宋" w:cs="仿宋" w:hint="eastAsia"/>
          <w:sz w:val="32"/>
          <w:szCs w:val="32"/>
          <w:u w:val="single"/>
        </w:rPr>
        <w:t>22.71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3.3</w:t>
      </w:r>
      <w:r>
        <w:rPr>
          <w:rFonts w:ascii="仿宋" w:eastAsia="仿宋" w:hAnsi="仿宋" w:cs="仿宋" w:hint="eastAsia"/>
          <w:sz w:val="32"/>
          <w:szCs w:val="32"/>
        </w:rPr>
        <w:t>万元，减少</w:t>
      </w:r>
      <w:r>
        <w:rPr>
          <w:rFonts w:ascii="仿宋" w:eastAsia="仿宋" w:hAnsi="仿宋" w:cs="仿宋" w:hint="eastAsia"/>
          <w:sz w:val="32"/>
          <w:szCs w:val="32"/>
          <w:u w:val="single"/>
        </w:rPr>
        <w:t>12.68</w:t>
      </w:r>
      <w:r>
        <w:rPr>
          <w:rFonts w:ascii="仿宋" w:eastAsia="仿宋" w:hAnsi="仿宋" w:cs="仿宋" w:hint="eastAsia"/>
          <w:sz w:val="32"/>
          <w:szCs w:val="32"/>
        </w:rPr>
        <w:t>%。变动原因：内蒙古绿色农畜产品博览会经费及信息报送费项目预算减少。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9.农业农村（款）农业生态资源保护（项）——2130135。年初预算</w:t>
      </w:r>
      <w:r>
        <w:rPr>
          <w:rFonts w:ascii="仿宋" w:eastAsia="仿宋" w:hAnsi="仿宋" w:cs="仿宋" w:hint="eastAsia"/>
          <w:sz w:val="32"/>
          <w:szCs w:val="32"/>
          <w:u w:val="single"/>
        </w:rPr>
        <w:t>2.01</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2.01</w:t>
      </w:r>
      <w:r>
        <w:rPr>
          <w:rFonts w:ascii="仿宋" w:eastAsia="仿宋" w:hAnsi="仿宋" w:cs="仿宋" w:hint="eastAsia"/>
          <w:sz w:val="32"/>
          <w:szCs w:val="32"/>
        </w:rPr>
        <w:t>万元。变动原因：本年度拨入自</w:t>
      </w:r>
      <w:r>
        <w:rPr>
          <w:rFonts w:ascii="仿宋" w:eastAsia="仿宋" w:hAnsi="仿宋" w:cs="仿宋" w:hint="eastAsia"/>
          <w:sz w:val="32"/>
          <w:szCs w:val="32"/>
        </w:rPr>
        <w:lastRenderedPageBreak/>
        <w:t>治区2023年外来入侵物种普查经费（内财农〔2022〕1751号）。</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10.农业农村（款）渔业发展（项）——2130148。年初预算</w:t>
      </w:r>
      <w:r>
        <w:rPr>
          <w:rFonts w:ascii="仿宋" w:eastAsia="仿宋" w:hAnsi="仿宋" w:cs="仿宋" w:hint="eastAsia"/>
          <w:sz w:val="32"/>
          <w:szCs w:val="32"/>
          <w:u w:val="single"/>
        </w:rPr>
        <w:t>3.35</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4.18</w:t>
      </w:r>
      <w:r>
        <w:rPr>
          <w:rFonts w:ascii="仿宋" w:eastAsia="仿宋" w:hAnsi="仿宋" w:cs="仿宋" w:hint="eastAsia"/>
          <w:sz w:val="32"/>
          <w:szCs w:val="32"/>
        </w:rPr>
        <w:t>万元，减少</w:t>
      </w:r>
      <w:r>
        <w:rPr>
          <w:rFonts w:ascii="仿宋" w:eastAsia="仿宋" w:hAnsi="仿宋" w:cs="仿宋" w:hint="eastAsia"/>
          <w:sz w:val="32"/>
          <w:szCs w:val="32"/>
          <w:u w:val="single"/>
        </w:rPr>
        <w:t>55.52</w:t>
      </w:r>
      <w:r>
        <w:rPr>
          <w:rFonts w:ascii="仿宋" w:eastAsia="仿宋" w:hAnsi="仿宋" w:cs="仿宋" w:hint="eastAsia"/>
          <w:sz w:val="32"/>
          <w:szCs w:val="32"/>
        </w:rPr>
        <w:t>%。变动原因：成品油价格调整对渔业补助等项目预算减少。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11.农业农村（款）耕地建设与利用（项）——2130153。年初预算</w:t>
      </w:r>
      <w:r>
        <w:rPr>
          <w:rFonts w:ascii="仿宋" w:eastAsia="仿宋" w:hAnsi="仿宋" w:cs="仿宋" w:hint="eastAsia"/>
          <w:sz w:val="32"/>
          <w:szCs w:val="32"/>
          <w:u w:val="single"/>
        </w:rPr>
        <w:t>11.56</w:t>
      </w:r>
      <w:r>
        <w:rPr>
          <w:rFonts w:ascii="仿宋" w:eastAsia="仿宋" w:hAnsi="仿宋" w:cs="仿宋" w:hint="eastAsia"/>
          <w:sz w:val="32"/>
          <w:szCs w:val="32"/>
        </w:rPr>
        <w:t>万元，与上年相比增加</w:t>
      </w:r>
      <w:r>
        <w:rPr>
          <w:rFonts w:ascii="仿宋" w:eastAsia="仿宋" w:hAnsi="仿宋" w:cs="仿宋" w:hint="eastAsia"/>
          <w:sz w:val="32"/>
          <w:szCs w:val="32"/>
          <w:u w:val="single"/>
        </w:rPr>
        <w:t>8.56</w:t>
      </w:r>
      <w:r>
        <w:rPr>
          <w:rFonts w:ascii="仿宋" w:eastAsia="仿宋" w:hAnsi="仿宋" w:cs="仿宋" w:hint="eastAsia"/>
          <w:sz w:val="32"/>
          <w:szCs w:val="32"/>
        </w:rPr>
        <w:t>万元，增加</w:t>
      </w:r>
      <w:r>
        <w:rPr>
          <w:rFonts w:ascii="仿宋" w:eastAsia="仿宋" w:hAnsi="仿宋" w:cs="仿宋" w:hint="eastAsia"/>
          <w:sz w:val="32"/>
          <w:szCs w:val="32"/>
          <w:u w:val="single"/>
        </w:rPr>
        <w:t>285.81</w:t>
      </w:r>
      <w:r>
        <w:rPr>
          <w:rFonts w:ascii="仿宋" w:eastAsia="仿宋" w:hAnsi="仿宋" w:cs="仿宋" w:hint="eastAsia"/>
          <w:sz w:val="32"/>
          <w:szCs w:val="32"/>
        </w:rPr>
        <w:t>%。变动原因：高标准农田项目管理费及管护费等项目预算增加。</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12.普惠金融发展支出（款）其他普惠金融发展支出（项）——2130899。年初预算</w:t>
      </w:r>
      <w:r>
        <w:rPr>
          <w:rFonts w:ascii="仿宋" w:eastAsia="仿宋" w:hAnsi="仿宋" w:cs="仿宋" w:hint="eastAsia"/>
          <w:sz w:val="32"/>
          <w:szCs w:val="32"/>
          <w:u w:val="single"/>
        </w:rPr>
        <w:t>2.36</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2.36</w:t>
      </w:r>
      <w:r>
        <w:rPr>
          <w:rFonts w:ascii="仿宋" w:eastAsia="仿宋" w:hAnsi="仿宋" w:cs="仿宋" w:hint="eastAsia"/>
          <w:sz w:val="32"/>
          <w:szCs w:val="32"/>
        </w:rPr>
        <w:t>万元。变动原因：本年度拨入2023年政策性农业（肉羊）保险工作经费。</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（六）自然资源海洋气象等支出（类）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1.自然资源事务（款）其他自然资源事务支出（项）——2200199。年初预算</w:t>
      </w:r>
      <w:r>
        <w:rPr>
          <w:rFonts w:ascii="仿宋" w:eastAsia="仿宋" w:hAnsi="仿宋" w:cs="仿宋" w:hint="eastAsia"/>
          <w:sz w:val="32"/>
          <w:szCs w:val="32"/>
          <w:u w:val="single"/>
        </w:rPr>
        <w:t>0.54</w:t>
      </w:r>
      <w:r>
        <w:rPr>
          <w:rFonts w:ascii="仿宋" w:eastAsia="仿宋" w:hAnsi="仿宋" w:cs="仿宋" w:hint="eastAsia"/>
          <w:sz w:val="32"/>
          <w:szCs w:val="32"/>
        </w:rPr>
        <w:t>万元，与上年相比减少</w:t>
      </w:r>
      <w:r>
        <w:rPr>
          <w:rFonts w:ascii="仿宋" w:eastAsia="仿宋" w:hAnsi="仿宋" w:cs="仿宋" w:hint="eastAsia"/>
          <w:sz w:val="32"/>
          <w:szCs w:val="32"/>
          <w:u w:val="single"/>
        </w:rPr>
        <w:t>29.46</w:t>
      </w:r>
      <w:r>
        <w:rPr>
          <w:rFonts w:ascii="仿宋" w:eastAsia="仿宋" w:hAnsi="仿宋" w:cs="仿宋" w:hint="eastAsia"/>
          <w:sz w:val="32"/>
          <w:szCs w:val="32"/>
        </w:rPr>
        <w:t>万元，减少</w:t>
      </w:r>
      <w:r>
        <w:rPr>
          <w:rFonts w:ascii="仿宋" w:eastAsia="仿宋" w:hAnsi="仿宋" w:cs="仿宋" w:hint="eastAsia"/>
          <w:sz w:val="32"/>
          <w:szCs w:val="32"/>
          <w:u w:val="single"/>
        </w:rPr>
        <w:t>98.21</w:t>
      </w:r>
      <w:r>
        <w:rPr>
          <w:rFonts w:ascii="仿宋" w:eastAsia="仿宋" w:hAnsi="仿宋" w:cs="仿宋" w:hint="eastAsia"/>
          <w:sz w:val="32"/>
          <w:szCs w:val="32"/>
        </w:rPr>
        <w:t>%。变动原因：全民所有自然资源资产所有权委托代理机制试点工作经费减少。</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（七）住房保障支出（类）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1.住房改革支出（款）住房公积金（项）——2210201。年初预算</w:t>
      </w:r>
      <w:r>
        <w:rPr>
          <w:rFonts w:ascii="仿宋" w:eastAsia="仿宋" w:hAnsi="仿宋" w:cs="仿宋" w:hint="eastAsia"/>
          <w:sz w:val="32"/>
          <w:szCs w:val="32"/>
          <w:u w:val="single"/>
        </w:rPr>
        <w:t>79.18</w:t>
      </w:r>
      <w:r>
        <w:rPr>
          <w:rFonts w:ascii="仿宋" w:eastAsia="仿宋" w:hAnsi="仿宋" w:cs="仿宋" w:hint="eastAsia"/>
          <w:sz w:val="32"/>
          <w:szCs w:val="32"/>
        </w:rPr>
        <w:t>万元，与上年相比增加</w:t>
      </w:r>
      <w:r>
        <w:rPr>
          <w:rFonts w:ascii="仿宋" w:eastAsia="仿宋" w:hAnsi="仿宋" w:cs="仿宋" w:hint="eastAsia"/>
          <w:sz w:val="32"/>
          <w:szCs w:val="32"/>
          <w:u w:val="single"/>
        </w:rPr>
        <w:t>1.14</w:t>
      </w:r>
      <w:r>
        <w:rPr>
          <w:rFonts w:ascii="仿宋" w:eastAsia="仿宋" w:hAnsi="仿宋" w:cs="仿宋" w:hint="eastAsia"/>
          <w:sz w:val="32"/>
          <w:szCs w:val="32"/>
        </w:rPr>
        <w:t>万元，增加</w:t>
      </w:r>
      <w:r>
        <w:rPr>
          <w:rFonts w:ascii="仿宋" w:eastAsia="仿宋" w:hAnsi="仿宋" w:cs="仿宋" w:hint="eastAsia"/>
          <w:sz w:val="32"/>
          <w:szCs w:val="32"/>
          <w:u w:val="single"/>
        </w:rPr>
        <w:t>1.46</w:t>
      </w:r>
      <w:r>
        <w:rPr>
          <w:rFonts w:ascii="仿宋" w:eastAsia="仿宋" w:hAnsi="仿宋" w:cs="仿宋" w:hint="eastAsia"/>
          <w:sz w:val="32"/>
          <w:szCs w:val="32"/>
        </w:rPr>
        <w:t>%。变动原因：人员调资导致增加。</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2.住房改革支出（款）购房补贴（项）——2210203。年初预算</w:t>
      </w:r>
      <w:r>
        <w:rPr>
          <w:rFonts w:ascii="仿宋" w:eastAsia="仿宋" w:hAnsi="仿宋" w:cs="仿宋" w:hint="eastAsia"/>
          <w:sz w:val="32"/>
          <w:szCs w:val="32"/>
          <w:u w:val="single"/>
        </w:rPr>
        <w:t>24.46</w:t>
      </w:r>
      <w:r>
        <w:rPr>
          <w:rFonts w:ascii="仿宋" w:eastAsia="仿宋" w:hAnsi="仿宋" w:cs="仿宋" w:hint="eastAsia"/>
          <w:sz w:val="32"/>
          <w:szCs w:val="32"/>
        </w:rPr>
        <w:t>万元，与上年相比增加</w:t>
      </w:r>
      <w:r>
        <w:rPr>
          <w:rFonts w:ascii="仿宋" w:eastAsia="仿宋" w:hAnsi="仿宋" w:cs="仿宋" w:hint="eastAsia"/>
          <w:sz w:val="32"/>
          <w:szCs w:val="32"/>
          <w:u w:val="single"/>
        </w:rPr>
        <w:t>10.99</w:t>
      </w:r>
      <w:r>
        <w:rPr>
          <w:rFonts w:ascii="仿宋" w:eastAsia="仿宋" w:hAnsi="仿宋" w:cs="仿宋" w:hint="eastAsia"/>
          <w:sz w:val="32"/>
          <w:szCs w:val="32"/>
        </w:rPr>
        <w:t>万元，增加</w:t>
      </w:r>
      <w:r>
        <w:rPr>
          <w:rFonts w:ascii="仿宋" w:eastAsia="仿宋" w:hAnsi="仿宋" w:cs="仿宋" w:hint="eastAsia"/>
          <w:sz w:val="32"/>
          <w:szCs w:val="32"/>
          <w:u w:val="single"/>
        </w:rPr>
        <w:t>81.53</w:t>
      </w:r>
      <w:r>
        <w:rPr>
          <w:rFonts w:ascii="仿宋" w:eastAsia="仿宋" w:hAnsi="仿宋" w:cs="仿宋" w:hint="eastAsia"/>
          <w:sz w:val="32"/>
          <w:szCs w:val="32"/>
        </w:rPr>
        <w:t>%。变动原因：人员调资导致增加。</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（八）其他支出（类）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1.其他支出（款）其他支出（项）——2299999。年初预算</w:t>
      </w:r>
      <w:r>
        <w:rPr>
          <w:rFonts w:ascii="仿宋" w:eastAsia="仿宋" w:hAnsi="仿宋" w:cs="仿宋" w:hint="eastAsia"/>
          <w:sz w:val="32"/>
          <w:szCs w:val="32"/>
          <w:u w:val="single"/>
        </w:rPr>
        <w:t>2.99</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46.67</w:t>
      </w:r>
      <w:r>
        <w:rPr>
          <w:rFonts w:ascii="仿宋" w:eastAsia="仿宋" w:hAnsi="仿宋" w:cs="仿宋" w:hint="eastAsia"/>
          <w:sz w:val="32"/>
          <w:szCs w:val="32"/>
        </w:rPr>
        <w:t>万元，减少</w:t>
      </w:r>
      <w:r>
        <w:rPr>
          <w:rFonts w:ascii="仿宋" w:eastAsia="仿宋" w:hAnsi="仿宋" w:cs="仿宋" w:hint="eastAsia"/>
          <w:sz w:val="32"/>
          <w:szCs w:val="32"/>
          <w:u w:val="single"/>
        </w:rPr>
        <w:t>93.97</w:t>
      </w:r>
      <w:r>
        <w:rPr>
          <w:rFonts w:ascii="仿宋" w:eastAsia="仿宋" w:hAnsi="仿宋" w:cs="仿宋" w:hint="eastAsia"/>
          <w:sz w:val="32"/>
          <w:szCs w:val="32"/>
        </w:rPr>
        <w:t>%。变动原因：盟级招商引资项目资金（第一批）减少。</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六、一般公共预算基本支出预算情况说明</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2024年度一般公共预算财政拨款基本支出预算</w:t>
      </w:r>
      <w:r>
        <w:rPr>
          <w:rFonts w:ascii="仿宋" w:eastAsia="仿宋" w:hAnsi="仿宋" w:cs="仿宋" w:hint="eastAsia"/>
          <w:sz w:val="32"/>
          <w:szCs w:val="32"/>
          <w:u w:val="single"/>
        </w:rPr>
        <w:t>1286.91</w:t>
      </w:r>
      <w:r>
        <w:rPr>
          <w:rFonts w:ascii="仿宋" w:eastAsia="仿宋" w:hAnsi="仿宋" w:cs="仿宋" w:hint="eastAsia"/>
          <w:sz w:val="32"/>
          <w:szCs w:val="32"/>
        </w:rPr>
        <w:t>万元，其中：</w:t>
      </w:r>
    </w:p>
    <w:p w:rsidR="00CA7ED3" w:rsidRDefault="001609BB">
      <w:pPr>
        <w:pStyle w:val="a7"/>
        <w:tabs>
          <w:tab w:val="left" w:pos="2671"/>
          <w:tab w:val="left" w:pos="5000"/>
          <w:tab w:val="left" w:pos="6190"/>
        </w:tabs>
        <w:spacing w:after="0" w:line="600" w:lineRule="exact"/>
        <w:ind w:firstLineChars="200" w:firstLine="641"/>
        <w:rPr>
          <w:rFonts w:ascii="仿宋" w:eastAsia="仿宋" w:hAnsi="仿宋" w:cs="仿宋"/>
          <w:sz w:val="32"/>
          <w:szCs w:val="32"/>
        </w:rPr>
      </w:pPr>
      <w:r>
        <w:rPr>
          <w:rFonts w:eastAsia="仿宋_GB2312"/>
          <w:b/>
          <w:bCs/>
          <w:sz w:val="32"/>
          <w:szCs w:val="32"/>
        </w:rPr>
        <w:t>（一）人员经费</w:t>
      </w:r>
      <w:r>
        <w:rPr>
          <w:rFonts w:eastAsia="仿宋_GB2312"/>
          <w:b/>
          <w:bCs/>
          <w:sz w:val="32"/>
          <w:szCs w:val="32"/>
          <w:u w:val="single"/>
        </w:rPr>
        <w:t>1111.72</w:t>
      </w:r>
      <w:r>
        <w:rPr>
          <w:rFonts w:eastAsia="仿宋_GB2312"/>
          <w:b/>
          <w:bCs/>
          <w:sz w:val="32"/>
          <w:szCs w:val="32"/>
        </w:rPr>
        <w:t>万元</w:t>
      </w:r>
      <w:r>
        <w:rPr>
          <w:rFonts w:eastAsia="仿宋_GB2312"/>
          <w:sz w:val="32"/>
          <w:szCs w:val="32"/>
        </w:rPr>
        <w:t>。</w:t>
      </w:r>
      <w:r>
        <w:rPr>
          <w:rFonts w:ascii="仿宋" w:eastAsia="仿宋" w:hAnsi="仿宋" w:cs="仿宋" w:hint="eastAsia"/>
          <w:sz w:val="32"/>
          <w:szCs w:val="32"/>
        </w:rPr>
        <w:t>主要包括：基本工资247.19万元、津贴补贴295.33万元、奖金56.02万元、机关事业单位基本养老保险缴费83.02万元、职业年金缴费37万元、职工基本医疗保险缴费31.41万元、公务员医疗补助缴费4.80万元、其他社会保障缴费1.04万元、</w:t>
      </w:r>
    </w:p>
    <w:p w:rsidR="00CA7ED3" w:rsidRDefault="001609BB">
      <w:pPr>
        <w:pStyle w:val="a7"/>
        <w:tabs>
          <w:tab w:val="left" w:pos="2671"/>
          <w:tab w:val="left" w:pos="5000"/>
          <w:tab w:val="left" w:pos="6190"/>
        </w:tabs>
        <w:spacing w:after="0" w:line="600" w:lineRule="exact"/>
        <w:jc w:val="left"/>
        <w:rPr>
          <w:rFonts w:ascii="仿宋" w:eastAsia="仿宋" w:hAnsi="仿宋" w:cs="仿宋"/>
          <w:sz w:val="32"/>
          <w:szCs w:val="32"/>
        </w:rPr>
      </w:pPr>
      <w:r>
        <w:rPr>
          <w:rFonts w:ascii="仿宋" w:eastAsia="仿宋" w:hAnsi="仿宋" w:cs="仿宋" w:hint="eastAsia"/>
          <w:sz w:val="32"/>
          <w:szCs w:val="32"/>
        </w:rPr>
        <w:t>住房公积金79.18万元、其他工资福利支出85.85万元、退休费96.26万元、生活补助28.09万元、医疗费补助66.53万元。</w:t>
      </w:r>
    </w:p>
    <w:p w:rsidR="00CA7ED3" w:rsidRDefault="001609BB">
      <w:pPr>
        <w:pStyle w:val="a7"/>
        <w:tabs>
          <w:tab w:val="left" w:pos="2671"/>
          <w:tab w:val="left" w:pos="5000"/>
          <w:tab w:val="left" w:pos="6190"/>
        </w:tabs>
        <w:spacing w:after="0" w:line="600" w:lineRule="exact"/>
        <w:ind w:firstLineChars="200" w:firstLine="641"/>
        <w:rPr>
          <w:rFonts w:ascii="仿宋" w:eastAsia="仿宋" w:hAnsi="仿宋" w:cs="仿宋"/>
          <w:sz w:val="32"/>
          <w:szCs w:val="32"/>
        </w:rPr>
      </w:pPr>
      <w:r>
        <w:rPr>
          <w:rFonts w:eastAsia="仿宋_GB2312"/>
          <w:b/>
          <w:bCs/>
          <w:sz w:val="32"/>
          <w:szCs w:val="32"/>
        </w:rPr>
        <w:t>（二）公用经费</w:t>
      </w:r>
      <w:r>
        <w:rPr>
          <w:rFonts w:eastAsia="仿宋_GB2312"/>
          <w:b/>
          <w:bCs/>
          <w:sz w:val="32"/>
          <w:szCs w:val="32"/>
          <w:u w:val="single"/>
        </w:rPr>
        <w:t>175.19</w:t>
      </w:r>
      <w:r>
        <w:rPr>
          <w:rFonts w:eastAsia="仿宋_GB2312"/>
          <w:b/>
          <w:bCs/>
          <w:sz w:val="32"/>
          <w:szCs w:val="32"/>
        </w:rPr>
        <w:t>万元</w:t>
      </w:r>
      <w:r>
        <w:rPr>
          <w:rFonts w:eastAsia="仿宋_GB2312"/>
          <w:sz w:val="32"/>
          <w:szCs w:val="32"/>
        </w:rPr>
        <w:t>。</w:t>
      </w:r>
      <w:r>
        <w:rPr>
          <w:rFonts w:ascii="仿宋" w:eastAsia="仿宋" w:hAnsi="仿宋" w:cs="仿宋" w:hint="eastAsia"/>
          <w:sz w:val="32"/>
          <w:szCs w:val="32"/>
        </w:rPr>
        <w:t>主要包括：奖金</w:t>
      </w:r>
      <w:r>
        <w:rPr>
          <w:rFonts w:ascii="仿宋" w:eastAsia="仿宋" w:hAnsi="仿宋" w:cs="仿宋" w:hint="eastAsia"/>
          <w:sz w:val="32"/>
          <w:szCs w:val="32"/>
        </w:rPr>
        <w:tab/>
        <w:t>1.80万元、其他社会保障缴费9.47万元、手续费0.12万元、水费4.61万元、电费6.5万元、取暖费7.4万元、物业管理费25.12万元、公务接待费3.91万元、工会经费13.21万元、福利费12.82万元、公务用车运行维护费43万元、其他交通费用47.23万元。</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七、一般公共预算“三公”经费支出预算情况说明</w:t>
      </w:r>
    </w:p>
    <w:p w:rsidR="00CA7ED3" w:rsidRDefault="001609BB">
      <w:pPr>
        <w:pStyle w:val="a7"/>
        <w:tabs>
          <w:tab w:val="left" w:pos="2671"/>
          <w:tab w:val="left" w:pos="5000"/>
          <w:tab w:val="left" w:pos="6190"/>
        </w:tabs>
        <w:spacing w:after="0" w:line="600" w:lineRule="exact"/>
        <w:ind w:firstLineChars="200" w:firstLine="640"/>
        <w:rPr>
          <w:rFonts w:eastAsia="仿宋_GB2312"/>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2024年度一般公共预算拨款安排的“三公”经费预算支出</w:t>
      </w:r>
      <w:r>
        <w:rPr>
          <w:rFonts w:ascii="仿宋" w:eastAsia="仿宋" w:hAnsi="仿宋" w:cs="仿宋" w:hint="eastAsia"/>
          <w:sz w:val="32"/>
          <w:szCs w:val="32"/>
          <w:u w:val="single"/>
        </w:rPr>
        <w:t>46.91</w:t>
      </w:r>
      <w:r>
        <w:rPr>
          <w:rFonts w:ascii="仿宋" w:eastAsia="仿宋" w:hAnsi="仿宋" w:cs="仿宋" w:hint="eastAsia"/>
          <w:sz w:val="32"/>
          <w:szCs w:val="32"/>
        </w:rPr>
        <w:t>万元，其中因公出国（境）费支出</w:t>
      </w:r>
      <w:r>
        <w:rPr>
          <w:rFonts w:ascii="仿宋" w:eastAsia="仿宋" w:hAnsi="仿宋" w:cs="仿宋" w:hint="eastAsia"/>
          <w:sz w:val="32"/>
          <w:szCs w:val="32"/>
          <w:u w:val="single"/>
        </w:rPr>
        <w:t>0</w:t>
      </w:r>
      <w:r>
        <w:rPr>
          <w:rFonts w:ascii="仿宋" w:eastAsia="仿宋" w:hAnsi="仿宋" w:cs="仿宋" w:hint="eastAsia"/>
          <w:sz w:val="32"/>
          <w:szCs w:val="32"/>
        </w:rPr>
        <w:t>万元，占“三公”经费的</w:t>
      </w:r>
      <w:r>
        <w:rPr>
          <w:rFonts w:ascii="仿宋" w:eastAsia="仿宋" w:hAnsi="仿宋" w:cs="仿宋" w:hint="eastAsia"/>
          <w:sz w:val="32"/>
          <w:szCs w:val="32"/>
          <w:u w:val="single"/>
        </w:rPr>
        <w:t>0</w:t>
      </w:r>
      <w:r>
        <w:rPr>
          <w:rFonts w:ascii="仿宋" w:eastAsia="仿宋" w:hAnsi="仿宋" w:cs="仿宋" w:hint="eastAsia"/>
          <w:sz w:val="32"/>
          <w:szCs w:val="32"/>
        </w:rPr>
        <w:t>%；公务用车购置及运行维护费支出</w:t>
      </w:r>
      <w:r>
        <w:rPr>
          <w:rFonts w:ascii="仿宋" w:eastAsia="仿宋" w:hAnsi="仿宋" w:cs="仿宋" w:hint="eastAsia"/>
          <w:sz w:val="32"/>
          <w:szCs w:val="32"/>
          <w:u w:val="single"/>
        </w:rPr>
        <w:t>43</w:t>
      </w:r>
      <w:r>
        <w:rPr>
          <w:rFonts w:ascii="仿宋" w:eastAsia="仿宋" w:hAnsi="仿宋" w:cs="仿宋" w:hint="eastAsia"/>
          <w:sz w:val="32"/>
          <w:szCs w:val="32"/>
        </w:rPr>
        <w:t>万元，占“三公”经费的</w:t>
      </w:r>
      <w:r>
        <w:rPr>
          <w:rFonts w:ascii="仿宋" w:eastAsia="仿宋" w:hAnsi="仿宋" w:cs="仿宋" w:hint="eastAsia"/>
          <w:sz w:val="32"/>
          <w:szCs w:val="32"/>
          <w:u w:val="single"/>
        </w:rPr>
        <w:t>91.66</w:t>
      </w:r>
      <w:r>
        <w:rPr>
          <w:rFonts w:ascii="仿宋" w:eastAsia="仿宋" w:hAnsi="仿宋" w:cs="仿宋" w:hint="eastAsia"/>
          <w:sz w:val="32"/>
          <w:szCs w:val="32"/>
        </w:rPr>
        <w:t>%；公务接待费支出</w:t>
      </w:r>
      <w:r>
        <w:rPr>
          <w:rFonts w:ascii="仿宋" w:eastAsia="仿宋" w:hAnsi="仿宋" w:cs="仿宋" w:hint="eastAsia"/>
          <w:sz w:val="32"/>
          <w:szCs w:val="32"/>
          <w:u w:val="single"/>
        </w:rPr>
        <w:t>3.91</w:t>
      </w:r>
      <w:r>
        <w:rPr>
          <w:rFonts w:ascii="仿宋" w:eastAsia="仿宋" w:hAnsi="仿宋" w:cs="仿宋" w:hint="eastAsia"/>
          <w:sz w:val="32"/>
          <w:szCs w:val="32"/>
        </w:rPr>
        <w:t>万元，占“三公”经费的</w:t>
      </w:r>
      <w:r>
        <w:rPr>
          <w:rFonts w:ascii="仿宋" w:eastAsia="仿宋" w:hAnsi="仿宋" w:cs="仿宋" w:hint="eastAsia"/>
          <w:sz w:val="32"/>
          <w:szCs w:val="32"/>
          <w:u w:val="single"/>
        </w:rPr>
        <w:t>8.34</w:t>
      </w:r>
      <w:r>
        <w:rPr>
          <w:rFonts w:ascii="仿宋" w:eastAsia="仿宋" w:hAnsi="仿宋" w:cs="仿宋" w:hint="eastAsia"/>
          <w:sz w:val="32"/>
          <w:szCs w:val="32"/>
        </w:rPr>
        <w:t>%。具体情况如下：</w:t>
      </w:r>
    </w:p>
    <w:p w:rsidR="00CA7ED3" w:rsidRDefault="001609BB">
      <w:pPr>
        <w:spacing w:line="600" w:lineRule="exact"/>
        <w:ind w:left="29" w:right="96" w:firstLine="650"/>
        <w:rPr>
          <w:rFonts w:ascii="仿宋" w:eastAsia="仿宋" w:hAnsi="仿宋" w:cs="仿宋"/>
          <w:sz w:val="32"/>
          <w:szCs w:val="32"/>
        </w:rPr>
      </w:pPr>
      <w:r>
        <w:rPr>
          <w:rFonts w:ascii="仿宋" w:eastAsia="仿宋" w:hAnsi="仿宋" w:cs="仿宋" w:hint="eastAsia"/>
          <w:sz w:val="32"/>
          <w:szCs w:val="32"/>
        </w:rPr>
        <w:lastRenderedPageBreak/>
        <w:t>一般公共预算拨款安排的“三公”经费预算支出</w:t>
      </w:r>
      <w:r>
        <w:rPr>
          <w:rFonts w:ascii="仿宋" w:eastAsia="仿宋" w:hAnsi="仿宋" w:cs="仿宋" w:hint="eastAsia"/>
          <w:sz w:val="32"/>
          <w:szCs w:val="32"/>
          <w:u w:val="single"/>
        </w:rPr>
        <w:t>46.91</w:t>
      </w:r>
      <w:r>
        <w:rPr>
          <w:rFonts w:ascii="仿宋" w:eastAsia="仿宋" w:hAnsi="仿宋" w:cs="仿宋" w:hint="eastAsia"/>
          <w:spacing w:val="-4"/>
          <w:sz w:val="32"/>
          <w:szCs w:val="32"/>
        </w:rPr>
        <w:t>万元，比上年预</w:t>
      </w:r>
      <w:r>
        <w:rPr>
          <w:rFonts w:ascii="仿宋" w:eastAsia="仿宋" w:hAnsi="仿宋" w:cs="仿宋" w:hint="eastAsia"/>
          <w:spacing w:val="-6"/>
          <w:sz w:val="32"/>
          <w:szCs w:val="32"/>
        </w:rPr>
        <w:t>算减少</w:t>
      </w:r>
      <w:r>
        <w:rPr>
          <w:rFonts w:ascii="仿宋" w:eastAsia="仿宋" w:hAnsi="仿宋" w:cs="仿宋" w:hint="eastAsia"/>
          <w:sz w:val="32"/>
          <w:szCs w:val="32"/>
          <w:u w:val="single"/>
        </w:rPr>
        <w:t>16.57</w:t>
      </w:r>
      <w:r>
        <w:rPr>
          <w:rFonts w:ascii="仿宋" w:eastAsia="仿宋" w:hAnsi="仿宋" w:cs="仿宋" w:hint="eastAsia"/>
          <w:spacing w:val="-6"/>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26.1</w:t>
      </w:r>
      <w:r>
        <w:rPr>
          <w:rFonts w:ascii="仿宋" w:eastAsia="仿宋" w:hAnsi="仿宋" w:cs="仿宋" w:hint="eastAsia"/>
          <w:sz w:val="32"/>
          <w:szCs w:val="32"/>
        </w:rPr>
        <w:t>%</w:t>
      </w:r>
      <w:r>
        <w:rPr>
          <w:rFonts w:ascii="仿宋" w:eastAsia="仿宋" w:hAnsi="仿宋" w:cs="仿宋" w:hint="eastAsia"/>
          <w:spacing w:val="-6"/>
          <w:sz w:val="32"/>
          <w:szCs w:val="32"/>
        </w:rPr>
        <w:t>；</w:t>
      </w:r>
      <w:r>
        <w:rPr>
          <w:rFonts w:ascii="仿宋" w:eastAsia="仿宋" w:hAnsi="仿宋" w:cs="仿宋" w:hint="eastAsia"/>
          <w:spacing w:val="70"/>
          <w:sz w:val="32"/>
          <w:szCs w:val="32"/>
        </w:rPr>
        <w:t xml:space="preserve"> </w:t>
      </w:r>
      <w:r>
        <w:rPr>
          <w:rFonts w:ascii="仿宋" w:eastAsia="仿宋" w:hAnsi="仿宋" w:cs="仿宋" w:hint="eastAsia"/>
          <w:spacing w:val="-4"/>
          <w:sz w:val="32"/>
          <w:szCs w:val="32"/>
        </w:rPr>
        <w:t>其中：</w:t>
      </w:r>
    </w:p>
    <w:p w:rsidR="00CA7ED3" w:rsidRDefault="001609BB">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1．因公出国（境）费预算支出</w:t>
      </w:r>
      <w:r>
        <w:rPr>
          <w:rFonts w:ascii="仿宋" w:eastAsia="仿宋" w:hAnsi="仿宋" w:cs="仿宋" w:hint="eastAsia"/>
          <w:sz w:val="32"/>
          <w:szCs w:val="32"/>
          <w:u w:val="single"/>
        </w:rPr>
        <w:t>0</w:t>
      </w:r>
      <w:r>
        <w:rPr>
          <w:rFonts w:ascii="仿宋" w:eastAsia="仿宋" w:hAnsi="仿宋" w:cs="仿宋" w:hint="eastAsia"/>
          <w:sz w:val="32"/>
          <w:szCs w:val="32"/>
        </w:rPr>
        <w:t>万元，比上年预算增加（减少）</w:t>
      </w:r>
      <w:r>
        <w:rPr>
          <w:rFonts w:ascii="仿宋" w:eastAsia="仿宋" w:hAnsi="仿宋" w:cs="仿宋" w:hint="eastAsia"/>
          <w:sz w:val="32"/>
          <w:szCs w:val="32"/>
          <w:u w:val="single"/>
        </w:rPr>
        <w:t>0</w:t>
      </w:r>
      <w:r>
        <w:rPr>
          <w:rFonts w:ascii="仿宋" w:eastAsia="仿宋" w:hAnsi="仿宋" w:cs="仿宋" w:hint="eastAsia"/>
          <w:sz w:val="32"/>
          <w:szCs w:val="32"/>
        </w:rPr>
        <w:t>万元，主要原因：本年无因公出国（境）支出。</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2．公务用车购置及运行维护费预算支出</w:t>
      </w:r>
      <w:r>
        <w:rPr>
          <w:rFonts w:ascii="仿宋" w:eastAsia="仿宋" w:hAnsi="仿宋" w:cs="仿宋" w:hint="eastAsia"/>
          <w:sz w:val="32"/>
          <w:szCs w:val="32"/>
          <w:u w:val="single"/>
        </w:rPr>
        <w:t>43</w:t>
      </w:r>
      <w:r>
        <w:rPr>
          <w:rFonts w:ascii="仿宋" w:eastAsia="仿宋" w:hAnsi="仿宋" w:cs="仿宋" w:hint="eastAsia"/>
          <w:sz w:val="32"/>
          <w:szCs w:val="32"/>
        </w:rPr>
        <w:t>万元。其中：</w:t>
      </w:r>
      <w:r>
        <w:rPr>
          <w:rFonts w:ascii="仿宋" w:eastAsia="仿宋" w:hAnsi="仿宋" w:cs="仿宋" w:hint="eastAsia"/>
          <w:sz w:val="32"/>
          <w:szCs w:val="32"/>
        </w:rPr>
        <w:tab/>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（1）公务用车购置预算支出</w:t>
      </w:r>
      <w:r>
        <w:rPr>
          <w:rFonts w:ascii="仿宋" w:eastAsia="仿宋" w:hAnsi="仿宋" w:cs="仿宋" w:hint="eastAsia"/>
          <w:sz w:val="32"/>
          <w:szCs w:val="32"/>
          <w:u w:val="single"/>
        </w:rPr>
        <w:t>0</w:t>
      </w:r>
      <w:r>
        <w:rPr>
          <w:rFonts w:ascii="仿宋" w:eastAsia="仿宋" w:hAnsi="仿宋" w:cs="仿宋" w:hint="eastAsia"/>
          <w:sz w:val="32"/>
          <w:szCs w:val="32"/>
        </w:rPr>
        <w:t>万元，比上年预算增加（减少）</w:t>
      </w:r>
      <w:r>
        <w:rPr>
          <w:rFonts w:ascii="仿宋" w:eastAsia="仿宋" w:hAnsi="仿宋" w:cs="仿宋" w:hint="eastAsia"/>
          <w:sz w:val="32"/>
          <w:szCs w:val="32"/>
          <w:u w:val="single"/>
        </w:rPr>
        <w:t>0</w:t>
      </w:r>
      <w:r>
        <w:rPr>
          <w:rFonts w:ascii="仿宋" w:eastAsia="仿宋" w:hAnsi="仿宋" w:cs="仿宋" w:hint="eastAsia"/>
          <w:sz w:val="32"/>
          <w:szCs w:val="32"/>
        </w:rPr>
        <w:t>万元，主要原因：本年无公务用车购置支出。</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（2）公务用车运行维护费预算支出</w:t>
      </w:r>
      <w:r>
        <w:rPr>
          <w:rFonts w:ascii="仿宋" w:eastAsia="仿宋" w:hAnsi="仿宋" w:cs="仿宋" w:hint="eastAsia"/>
          <w:sz w:val="32"/>
          <w:szCs w:val="32"/>
          <w:u w:val="single"/>
        </w:rPr>
        <w:t>43</w:t>
      </w:r>
      <w:r>
        <w:rPr>
          <w:rFonts w:ascii="仿宋" w:eastAsia="仿宋" w:hAnsi="仿宋" w:cs="仿宋" w:hint="eastAsia"/>
          <w:sz w:val="32"/>
          <w:szCs w:val="32"/>
        </w:rPr>
        <w:t>万元，比上年预算减少</w:t>
      </w:r>
      <w:r>
        <w:rPr>
          <w:rFonts w:ascii="仿宋" w:eastAsia="仿宋" w:hAnsi="仿宋" w:cs="仿宋" w:hint="eastAsia"/>
          <w:sz w:val="32"/>
          <w:szCs w:val="32"/>
          <w:u w:val="single"/>
        </w:rPr>
        <w:t>16.98</w:t>
      </w:r>
      <w:r>
        <w:rPr>
          <w:rFonts w:ascii="仿宋" w:eastAsia="仿宋" w:hAnsi="仿宋" w:cs="仿宋" w:hint="eastAsia"/>
          <w:sz w:val="32"/>
          <w:szCs w:val="32"/>
        </w:rPr>
        <w:t>万元，主要原因：2023年公务用车运行维护费中含上年结转指标。</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3．公务接待费预算支出</w:t>
      </w:r>
      <w:r>
        <w:rPr>
          <w:rFonts w:ascii="仿宋" w:eastAsia="仿宋" w:hAnsi="仿宋" w:cs="仿宋" w:hint="eastAsia"/>
          <w:sz w:val="32"/>
          <w:szCs w:val="32"/>
          <w:u w:val="single"/>
        </w:rPr>
        <w:t>3.91</w:t>
      </w:r>
      <w:r>
        <w:rPr>
          <w:rFonts w:ascii="仿宋" w:eastAsia="仿宋" w:hAnsi="仿宋" w:cs="仿宋" w:hint="eastAsia"/>
          <w:sz w:val="32"/>
          <w:szCs w:val="32"/>
        </w:rPr>
        <w:t>万元，比上年预算增加</w:t>
      </w:r>
      <w:r>
        <w:rPr>
          <w:rFonts w:ascii="仿宋" w:eastAsia="仿宋" w:hAnsi="仿宋" w:cs="仿宋" w:hint="eastAsia"/>
          <w:sz w:val="32"/>
          <w:szCs w:val="32"/>
          <w:u w:val="single"/>
        </w:rPr>
        <w:t>0.41</w:t>
      </w:r>
      <w:r>
        <w:rPr>
          <w:rFonts w:ascii="仿宋" w:eastAsia="仿宋" w:hAnsi="仿宋" w:cs="仿宋" w:hint="eastAsia"/>
          <w:sz w:val="32"/>
          <w:szCs w:val="32"/>
        </w:rPr>
        <w:t>万元，主要原因：本年度工作任务增重，预计产生的公务接待会增加。</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八、政府性基金预算支出预算情况说明</w:t>
      </w:r>
    </w:p>
    <w:p w:rsidR="00CA7ED3" w:rsidRDefault="001609BB">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2024年政府性基金支出预算支出</w:t>
      </w:r>
      <w:r>
        <w:rPr>
          <w:rFonts w:ascii="仿宋" w:eastAsia="仿宋" w:hAnsi="仿宋" w:cs="仿宋" w:hint="eastAsia"/>
          <w:sz w:val="32"/>
          <w:szCs w:val="32"/>
          <w:u w:val="single"/>
        </w:rPr>
        <w:t>0</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ab/>
        <w:t>%。主要原因是本年无政府性基金预算拨款支出。</w:t>
      </w:r>
    </w:p>
    <w:p w:rsidR="00CA7ED3" w:rsidRDefault="001609BB">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其中：</w:t>
      </w:r>
    </w:p>
    <w:p w:rsidR="00CA7ED3" w:rsidRDefault="001609BB">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1．城乡社区支出（类）政府住房基金及对应专项债务收入安排的支出（款）管理费用支出（项）支出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万元，主要是用于政府性基金预算支出。</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九、国有资本经营预算支出预算情况说明</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2024年国有资本经营预算支出</w:t>
      </w:r>
      <w:r>
        <w:rPr>
          <w:rFonts w:ascii="仿宋" w:eastAsia="仿宋" w:hAnsi="仿宋" w:cs="仿宋" w:hint="eastAsia"/>
          <w:sz w:val="32"/>
          <w:szCs w:val="32"/>
          <w:u w:val="single"/>
        </w:rPr>
        <w:t>0</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%。主要原因是本年无</w:t>
      </w:r>
      <w:r>
        <w:rPr>
          <w:rFonts w:ascii="仿宋" w:eastAsia="仿宋" w:hAnsi="仿宋" w:cs="仿宋" w:hint="eastAsia"/>
          <w:sz w:val="32"/>
          <w:szCs w:val="32"/>
        </w:rPr>
        <w:lastRenderedPageBreak/>
        <w:t>国有资本经营预算拨款支出。</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其中：</w:t>
      </w:r>
    </w:p>
    <w:p w:rsidR="00CA7ED3" w:rsidRDefault="001609BB">
      <w:pPr>
        <w:spacing w:line="600" w:lineRule="exact"/>
        <w:ind w:firstLineChars="200" w:firstLine="640"/>
        <w:rPr>
          <w:rFonts w:ascii="仿宋" w:eastAsia="仿宋" w:hAnsi="仿宋" w:cs="仿宋"/>
          <w:i/>
          <w:iCs/>
          <w:sz w:val="32"/>
          <w:szCs w:val="32"/>
        </w:rPr>
      </w:pPr>
      <w:r>
        <w:rPr>
          <w:rFonts w:ascii="仿宋" w:eastAsia="仿宋" w:hAnsi="仿宋" w:cs="仿宋" w:hint="eastAsia"/>
          <w:sz w:val="32"/>
          <w:szCs w:val="32"/>
        </w:rPr>
        <w:t>1．国有资本经营预算支出（类）解决历史遗留问题及改革成本支出（款）“三供一业”移交补助支出（项）支出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万元，主要是用于国有资本经营预算支出。</w:t>
      </w:r>
    </w:p>
    <w:p w:rsidR="00CA7ED3" w:rsidRDefault="001609BB">
      <w:pPr>
        <w:spacing w:line="600" w:lineRule="exact"/>
        <w:ind w:firstLineChars="200" w:firstLine="640"/>
        <w:rPr>
          <w:i/>
          <w:iCs/>
          <w:highlight w:val="yellow"/>
        </w:rPr>
      </w:pPr>
      <w:r>
        <w:rPr>
          <w:rFonts w:eastAsia="黑体" w:cs="黑体" w:hint="eastAsia"/>
          <w:sz w:val="32"/>
          <w:szCs w:val="36"/>
        </w:rPr>
        <w:t>十、项目支出预算情况说明</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2024年单位预算安排项目</w:t>
      </w:r>
      <w:r>
        <w:rPr>
          <w:rFonts w:ascii="仿宋" w:eastAsia="仿宋" w:hAnsi="仿宋" w:cs="仿宋" w:hint="eastAsia"/>
          <w:sz w:val="32"/>
          <w:szCs w:val="32"/>
          <w:u w:val="single"/>
        </w:rPr>
        <w:t>37</w:t>
      </w:r>
      <w:r>
        <w:rPr>
          <w:rFonts w:ascii="仿宋" w:eastAsia="仿宋" w:hAnsi="仿宋" w:cs="仿宋" w:hint="eastAsia"/>
          <w:sz w:val="32"/>
          <w:szCs w:val="32"/>
        </w:rPr>
        <w:t>个，项目预算总金额</w:t>
      </w:r>
      <w:r>
        <w:rPr>
          <w:rFonts w:ascii="仿宋" w:eastAsia="仿宋" w:hAnsi="仿宋" w:cs="仿宋" w:hint="eastAsia"/>
          <w:sz w:val="32"/>
          <w:szCs w:val="32"/>
          <w:u w:val="single"/>
        </w:rPr>
        <w:t>944.50</w:t>
      </w:r>
      <w:r>
        <w:rPr>
          <w:rFonts w:ascii="仿宋" w:eastAsia="仿宋" w:hAnsi="仿宋" w:cs="仿宋" w:hint="eastAsia"/>
          <w:sz w:val="32"/>
          <w:szCs w:val="32"/>
        </w:rPr>
        <w:t>万元。其中，财政本年拨款金额</w:t>
      </w:r>
      <w:r>
        <w:rPr>
          <w:rFonts w:ascii="仿宋" w:eastAsia="仿宋" w:hAnsi="仿宋" w:cs="仿宋" w:hint="eastAsia"/>
          <w:sz w:val="32"/>
          <w:szCs w:val="32"/>
          <w:u w:val="single"/>
        </w:rPr>
        <w:t>827.20</w:t>
      </w:r>
      <w:r>
        <w:rPr>
          <w:rFonts w:ascii="仿宋" w:eastAsia="仿宋" w:hAnsi="仿宋" w:cs="仿宋" w:hint="eastAsia"/>
          <w:sz w:val="32"/>
          <w:szCs w:val="32"/>
        </w:rPr>
        <w:t>万元，财政拨款结转结余</w:t>
      </w:r>
      <w:r>
        <w:rPr>
          <w:rFonts w:ascii="仿宋" w:eastAsia="仿宋" w:hAnsi="仿宋" w:cs="仿宋" w:hint="eastAsia"/>
          <w:sz w:val="32"/>
          <w:szCs w:val="32"/>
          <w:u w:val="single"/>
        </w:rPr>
        <w:t>117.30</w:t>
      </w:r>
      <w:r>
        <w:rPr>
          <w:rFonts w:ascii="仿宋" w:eastAsia="仿宋" w:hAnsi="仿宋" w:cs="仿宋" w:hint="eastAsia"/>
          <w:sz w:val="32"/>
          <w:szCs w:val="32"/>
        </w:rPr>
        <w:t>万元，财政专户管理资金</w:t>
      </w:r>
      <w:r>
        <w:rPr>
          <w:rFonts w:ascii="仿宋" w:eastAsia="仿宋" w:hAnsi="仿宋" w:cs="仿宋" w:hint="eastAsia"/>
          <w:sz w:val="32"/>
          <w:szCs w:val="32"/>
          <w:u w:val="single"/>
        </w:rPr>
        <w:t>0</w:t>
      </w:r>
      <w:r>
        <w:rPr>
          <w:rFonts w:ascii="仿宋" w:eastAsia="仿宋" w:hAnsi="仿宋" w:cs="仿宋" w:hint="eastAsia"/>
          <w:sz w:val="32"/>
          <w:szCs w:val="32"/>
        </w:rPr>
        <w:t>万元，单位资金</w:t>
      </w:r>
      <w:r>
        <w:rPr>
          <w:rFonts w:ascii="仿宋" w:eastAsia="仿宋" w:hAnsi="仿宋" w:cs="仿宋" w:hint="eastAsia"/>
          <w:sz w:val="32"/>
          <w:szCs w:val="32"/>
          <w:u w:val="single"/>
        </w:rPr>
        <w:t>0</w:t>
      </w:r>
      <w:r>
        <w:rPr>
          <w:rFonts w:ascii="仿宋" w:eastAsia="仿宋" w:hAnsi="仿宋" w:cs="仿宋" w:hint="eastAsia"/>
          <w:sz w:val="32"/>
          <w:szCs w:val="32"/>
        </w:rPr>
        <w:t>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highlight w:val="cyan"/>
        </w:rPr>
      </w:pPr>
      <w:r>
        <w:rPr>
          <w:rFonts w:ascii="仿宋" w:eastAsia="仿宋" w:hAnsi="仿宋" w:cs="仿宋"/>
          <w:kern w:val="2"/>
          <w:sz w:val="32"/>
          <w:szCs w:val="32"/>
        </w:rPr>
        <w:t>（一） 万名专家人才服务基层及人才开发专项资金</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1.项目概述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选派专业技术人才以大力发展现代农牧业为主线，深入田间地头，及时为农牧户、基层农牧业技术人员、种养殖大户解决农牧业方面的技术难题。培训一支懂技术、头脑活、会经营、善管理，能带动周边农牧民共同致富的农村牧区实用人才带头人队伍。</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2.立项依据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关于印发《锡林郭勒盟深化“万名专家人才服务基层”行动的实施方案（2021-2022年）》的通知、《锡林郭勒盟人才引进和流动实施办法》、《锡林郭勒盟1230人才培养工程实施方案》</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3.实施主体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锡林郭勒盟农牧局</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4.实施方案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主要用于差旅费、培训费、其他交通费等方面支出。</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5.实施周期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自2024年1月1日至2024年12月31日。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6.年度预算安排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2024年该项目预算18.24万元。</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（二）2021年种质资源普查项目</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1.项目概述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用于种质资源普查工作日常指导、监督、检查等方面。</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内蒙古自治区财政厅关于下达2021年自治区种质资源普查工作经费的通知（内财农〔2021〕1615号）、自治区种业振兴资金（内财农〔2023〕410号）、自治区2023年看禾选种平台建设（内财农〔2023〕357号）</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A7ED3" w:rsidRDefault="00245BF7">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锡林郭勒</w:t>
      </w:r>
      <w:r w:rsidR="001609BB">
        <w:rPr>
          <w:rFonts w:ascii="仿宋" w:eastAsia="仿宋" w:hAnsi="仿宋" w:cs="仿宋" w:hint="eastAsia"/>
          <w:bCs/>
          <w:sz w:val="32"/>
          <w:szCs w:val="32"/>
        </w:rPr>
        <w:t>盟农牧局</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用于印刷费、差旅费、培训费、公务用车运行维护费、其他交通费等费用。</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2024年该项目预算6.8万元。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（三）成品油价格调整对渔业补助及中央渔业补助</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对各旗县市（区）农牧和科技局渔业业务和执法工作进行督查指导。</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《内蒙古自治区财政厅关于提前下达2023年成品油价格调整对渔业补助预算的通知》 (内财农〔2022〕1778号)和《锡林郭勒盟农牧局关于分配下达2023年部分农牧业专项资金 的函》 (锡农牧函〔2022〕2号)、中央2023年渔业增殖放流（内财农〔2023〕602号）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sz w:val="32"/>
          <w:szCs w:val="32"/>
        </w:rPr>
        <w:t>锡林郭勒</w:t>
      </w:r>
      <w:r w:rsidR="001609BB">
        <w:rPr>
          <w:rFonts w:ascii="仿宋" w:eastAsia="仿宋" w:hAnsi="仿宋" w:cs="仿宋"/>
          <w:kern w:val="2"/>
          <w:sz w:val="32"/>
          <w:szCs w:val="32"/>
        </w:rPr>
        <w:t>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用于指导业务和下乡督查费用。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2024年该项目预算3.35万元。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（四）政策性农业保险试点地区推动工作经费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本项目主要用于肉羊天气指数保险宣传工作。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按照锡林郭勒盟行政公署办公室关于印发《锡林郭勒盟肉羊政策</w:t>
      </w:r>
      <w:r>
        <w:rPr>
          <w:rFonts w:ascii="仿宋" w:eastAsia="仿宋" w:hAnsi="仿宋" w:cs="仿宋"/>
          <w:kern w:val="2"/>
          <w:sz w:val="32"/>
          <w:szCs w:val="32"/>
        </w:rPr>
        <w:lastRenderedPageBreak/>
        <w:t>性保险补贴试点工作实施方案（试行）的通知》（锡署办法〔2018〕106号）。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sz w:val="32"/>
          <w:szCs w:val="32"/>
        </w:rPr>
        <w:t>锡林郭勒</w:t>
      </w:r>
      <w:r w:rsidR="001609BB">
        <w:rPr>
          <w:rFonts w:ascii="仿宋" w:eastAsia="仿宋" w:hAnsi="仿宋" w:cs="仿宋"/>
          <w:kern w:val="2"/>
          <w:sz w:val="32"/>
          <w:szCs w:val="32"/>
        </w:rPr>
        <w:t>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根据工作需要，用于印刷费、劳务费、差旅费等方面。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2024年该项目预算3.36万元。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（五）全民所有自然资源资产所有权委托代理机制试点工作经费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用于试点工作全面铺开的相关工作，自然资源底数调查、农牧场基本情况梳理、自然资源疑难问题清理。</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按照盟本级预算批复。</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根据工作需要，用于公出旅费。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自2024年1月1日至2024年12月31日。</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2024年该项目预算0.54万元。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（六）全盟地方特色乳制品产业重点工作资金</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用于全盟地方特色乳制品产业重点工作。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《锡林郭勒盟地方特色乳制品产业发展2023年度工作方案》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3.实施主体</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sz w:val="32"/>
          <w:szCs w:val="32"/>
        </w:rPr>
        <w:t>锡林郭勒</w:t>
      </w:r>
      <w:r w:rsidR="001609BB">
        <w:rPr>
          <w:rFonts w:ascii="仿宋" w:eastAsia="仿宋" w:hAnsi="仿宋" w:cs="仿宋"/>
          <w:kern w:val="2"/>
          <w:sz w:val="32"/>
          <w:szCs w:val="32"/>
        </w:rPr>
        <w:t>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4.实施方案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小作坊改造项目工作经费。开展评审、监管、验收工作；乳制品团体标准制定费。制定锡林郭勒盟地方特色奶制糕点馅料（奶酪馅、楚其盖馅、奶皮馅、奶食混合馅）四项团体标准；培训费。对乳制品产业监管和从业人员开展相关法律法规、技术标准、市场营销等方面的培训；举办地方特色乳制品产业高质量发展论坛等。</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2024年该项目预算154.76万元。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（七）组织参加自治区绿色农畜产品博览会经费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本项目主要用于组织参加自治区绿色农畜产品博览会。</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据内绿博组办《第十届内蒙古绿色农畜产品博览会 • 第十一届内蒙古(蒙东)农业机械博览会首届赤峰预制菜大会工作方案》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sz w:val="32"/>
          <w:szCs w:val="32"/>
        </w:rPr>
        <w:t>锡林郭勒</w:t>
      </w:r>
      <w:r w:rsidR="001609BB">
        <w:rPr>
          <w:rFonts w:ascii="仿宋" w:eastAsia="仿宋" w:hAnsi="仿宋" w:cs="仿宋"/>
          <w:kern w:val="2"/>
          <w:sz w:val="32"/>
          <w:szCs w:val="32"/>
        </w:rPr>
        <w:t>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根据资金用途 ，主要用于组织参加自治区绿色农畜产品博览会。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2024年该项目预算22.71万元。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（八）农牧业办公经费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用于农牧业工作差旅费、办公费、会议及培训费、印刷费、委托业务费、劳务费、租赁费等方面支出。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sz w:val="32"/>
          <w:szCs w:val="32"/>
        </w:rPr>
        <w:t>锡林郭勒</w:t>
      </w:r>
      <w:r w:rsidR="001609BB">
        <w:rPr>
          <w:rFonts w:ascii="仿宋" w:eastAsia="仿宋" w:hAnsi="仿宋" w:cs="仿宋"/>
          <w:kern w:val="2"/>
          <w:sz w:val="32"/>
          <w:szCs w:val="32"/>
        </w:rPr>
        <w:t>盟财政局《关于规范差旅伙食费和市内交通费收交管理有关事项的通知》（锡财行〔2019〕787号）；中共</w:t>
      </w:r>
      <w:r>
        <w:rPr>
          <w:rFonts w:ascii="仿宋" w:eastAsia="仿宋" w:hAnsi="仿宋" w:cs="仿宋"/>
          <w:sz w:val="32"/>
          <w:szCs w:val="32"/>
        </w:rPr>
        <w:t>锡林郭勒</w:t>
      </w:r>
      <w:r w:rsidR="001609BB">
        <w:rPr>
          <w:rFonts w:ascii="仿宋" w:eastAsia="仿宋" w:hAnsi="仿宋" w:cs="仿宋"/>
          <w:kern w:val="2"/>
          <w:sz w:val="32"/>
          <w:szCs w:val="32"/>
        </w:rPr>
        <w:t>盟委办公厅、</w:t>
      </w:r>
      <w:r>
        <w:rPr>
          <w:rFonts w:ascii="仿宋" w:eastAsia="仿宋" w:hAnsi="仿宋" w:cs="仿宋"/>
          <w:sz w:val="32"/>
          <w:szCs w:val="32"/>
        </w:rPr>
        <w:t>锡林郭勒</w:t>
      </w:r>
      <w:r w:rsidR="001609BB">
        <w:rPr>
          <w:rFonts w:ascii="仿宋" w:eastAsia="仿宋" w:hAnsi="仿宋" w:cs="仿宋"/>
          <w:kern w:val="2"/>
          <w:sz w:val="32"/>
          <w:szCs w:val="32"/>
        </w:rPr>
        <w:t>盟行署办公厅《关于印发锡林郭勒盟本级党政机关会议管理办法的通知》（锡党办发〔2014〕36号）；</w:t>
      </w:r>
      <w:r>
        <w:rPr>
          <w:rFonts w:ascii="仿宋" w:eastAsia="仿宋" w:hAnsi="仿宋" w:cs="仿宋"/>
          <w:sz w:val="32"/>
          <w:szCs w:val="32"/>
        </w:rPr>
        <w:t>锡林郭勒</w:t>
      </w:r>
      <w:r w:rsidR="001609BB">
        <w:rPr>
          <w:rFonts w:ascii="仿宋" w:eastAsia="仿宋" w:hAnsi="仿宋" w:cs="仿宋"/>
          <w:kern w:val="2"/>
          <w:sz w:val="32"/>
          <w:szCs w:val="32"/>
        </w:rPr>
        <w:t>盟财政局 组织部 人力资源和社会保障局《关于转发内蒙古自治区财政厅 组织部 公务员局印发&lt;内蒙古自治区本级党政机关培训费管理办法&gt;的通</w:t>
      </w:r>
      <w:r w:rsidR="001609BB">
        <w:rPr>
          <w:rFonts w:ascii="仿宋" w:eastAsia="仿宋" w:hAnsi="仿宋" w:cs="仿宋"/>
          <w:kern w:val="2"/>
          <w:sz w:val="32"/>
          <w:szCs w:val="32"/>
        </w:rPr>
        <w:lastRenderedPageBreak/>
        <w:t xml:space="preserve">知》（锡财行〔2018〕6号）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sz w:val="32"/>
          <w:szCs w:val="32"/>
        </w:rPr>
        <w:t>锡林郭勒</w:t>
      </w:r>
      <w:r w:rsidR="001609BB">
        <w:rPr>
          <w:rFonts w:ascii="仿宋" w:eastAsia="仿宋" w:hAnsi="仿宋" w:cs="仿宋"/>
          <w:kern w:val="2"/>
          <w:sz w:val="32"/>
          <w:szCs w:val="32"/>
        </w:rPr>
        <w:t>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用于农牧业工作差旅费、办公费、会议及培训费、印刷费、委托业务费、劳务费、租赁费等方面支出。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2024年该项目预算31.24万元。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（九）农畜产品质量安全监管检测经费</w:t>
      </w:r>
    </w:p>
    <w:p w:rsidR="00CA7ED3" w:rsidRDefault="001609BB">
      <w:pPr>
        <w:pStyle w:val="2"/>
        <w:spacing w:after="0" w:line="600" w:lineRule="exact"/>
        <w:ind w:leftChars="0" w:left="0" w:firstLineChars="300" w:firstLine="960"/>
        <w:rPr>
          <w:rFonts w:ascii="仿宋" w:eastAsia="仿宋" w:hAnsi="仿宋" w:cs="仿宋" w:hint="default"/>
          <w:kern w:val="2"/>
          <w:sz w:val="32"/>
          <w:szCs w:val="32"/>
        </w:rPr>
      </w:pPr>
      <w:r>
        <w:rPr>
          <w:rFonts w:ascii="仿宋" w:eastAsia="仿宋" w:hAnsi="仿宋" w:cs="仿宋"/>
          <w:kern w:val="2"/>
          <w:sz w:val="32"/>
          <w:szCs w:val="32"/>
        </w:rPr>
        <w:t>1.项目概述</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用于农畜产品质量安全监管的下乡监督检查、协调往返差旅费、宣传费、普法经费等方面；用于农畜产品例行监测、专项监测、监督抽检费；用于检及检测与监管人员培训；用于贯彻落实国家、自治区农牧厅开展的各项专项整治活动，大力整顿和规范农资市场秩序，严厉打击制售假冒伪劣行为，保障农畜产品质量安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依据《内蒙古自治区人民政府关于进一步加强食品安全保障工作的通知》(内政发〔2016〕65号)、《中共中央 国务院关于深化改革加强食品安全工作的意见》文件、内蒙古自治区人民政府关于实行农牧业综合行政执法的实施意见》（内政发〔2007〕34号）及内蒙古自</w:t>
      </w:r>
      <w:r>
        <w:rPr>
          <w:rFonts w:ascii="仿宋" w:eastAsia="仿宋" w:hAnsi="仿宋" w:cs="仿宋"/>
          <w:kern w:val="2"/>
          <w:sz w:val="32"/>
          <w:szCs w:val="32"/>
        </w:rPr>
        <w:lastRenderedPageBreak/>
        <w:t xml:space="preserve">治区人民政府《关于加强和规范行政执法工作的意见》（内政发〔2014〕5号）文件要求。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3.实施主体</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4.实施方案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锡林郭勒盟农畜产品质量安全工作日常指导、监督、检查等方面工作。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5.实施周期</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自2024年1月1日至2024年12月31日。</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2024年该项目预算22.53万元。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（十）农膜污染防治资金</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重点用于对全盟重点覆膜地区农膜污染防治工作开展指导、培训及宣传等。</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依据《内蒙古自治区贯彻落实第二轮中央生态环境保护督察报告整改方案》第73项“农膜回收利用率偏低”整改措施（四）“各盟市……，将农膜污染防治资金纳入本级财政预算”要求，将农膜污染防治资金列入本级预算。</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sz w:val="32"/>
          <w:szCs w:val="32"/>
        </w:rPr>
        <w:t>锡林郭勒</w:t>
      </w:r>
      <w:r w:rsidR="001609BB">
        <w:rPr>
          <w:rFonts w:ascii="仿宋" w:eastAsia="仿宋" w:hAnsi="仿宋" w:cs="仿宋"/>
          <w:kern w:val="2"/>
          <w:sz w:val="32"/>
          <w:szCs w:val="32"/>
        </w:rPr>
        <w:t>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主要用于印刷费、差旅费、培训费、其他交通费等方面支出。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bookmarkStart w:id="1" w:name="_GoBack"/>
      <w:bookmarkEnd w:id="1"/>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2024年该项目预算7.28万元。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（十一）华西牛认证工作经费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本项目用于对全盟华西牛群体进行鉴定、认证、基因评估工作。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全国华西牛新闻发布会8</w:t>
      </w:r>
      <w:r w:rsidR="0094147C">
        <w:rPr>
          <w:rFonts w:ascii="仿宋" w:eastAsia="仿宋" w:hAnsi="仿宋" w:cs="仿宋"/>
          <w:kern w:val="2"/>
          <w:sz w:val="32"/>
          <w:szCs w:val="32"/>
        </w:rPr>
        <w:t>月在昆明召开，依据自治区党委办公厅《要情摘报》上王莉</w:t>
      </w:r>
      <w:r>
        <w:rPr>
          <w:rFonts w:ascii="仿宋" w:eastAsia="仿宋" w:hAnsi="仿宋" w:cs="仿宋"/>
          <w:kern w:val="2"/>
          <w:sz w:val="32"/>
          <w:szCs w:val="32"/>
        </w:rPr>
        <w:t>霞主席的批示“如何形成产业优势？请牧远、罗青同志研究”。按照罗盟长批示“盟农牧局从行业角度提出形成产业优势工作意见”的要求，盟农牧局起草了《关于加快形成华西牛产业优势工作方案（送审稿）》、华西牛种源推广（智能采集设备购置）（内财农〔2023〕357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用于对全盟华西牛群体鉴定、认证、基因检测、其它耗材。</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2024年该项目预算204.69万元。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（十二）动物防疫补助资金及畜禽屠宰环节“瘦肉精”监督抽检等</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动物防疫强制免疫、强制扑杀、无害化处理等方面的监督检查和宣传工作方面。畜禽屠宰环节“瘦肉精”监测，发现危害动物性食品安全的风险，检出饲喂“瘦肉精”的动物，保障动物性食品安全，防止因食用含“瘦肉精”动物性产品中毒事件发生，保障人民生命安全和身体健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内蒙古自治区财政厅关于提前下达2022年自治区本级部分农业相关转移支付资金的通知》（内财农〔2022〕379号）、《锡林郭勒盟财政局关于下达2021年自治区动物防疫补助资金的通知》(锡财农〔2021〕610号）、依据《内蒙古自治区牛羊屠宰管理办法》第三十五条“旗县级以上人民政府兽医主管部门应当制定屠宰环节牛羊产品质量安全年度抽检计划，并组织实施。”的规定；锡林郭勒盟农牧局《关于进一步加强畜禽屠宰加工企业“瘦肉精”检测工作的通知》锡农牧医发〔2021〕40号文件。</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3.实施主体</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根据财政批复办公费主要用于核算日常办公费、差旅费、印刷费等，专用材料购置费主要用于购买瘦肉精试剂盒等，其它商品和服务支出主要用于上述未包括的日常公用支出，公务用车运行维护费主要用于公务用车出差产生的燃料费、维修费及过路过桥费、保险费等。</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2024年该项目预算1.49万元。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（十三）高标准农田项目管理与管护费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本项目主要用于高标准农田监督检查工作。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依据农业农村部《农田建设项目管理办法》（农业农村部令2019年第4号）、财政部《农田建设补助资金管理办法》（财农〔2019〕46号）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根据高标准农田业务预算 ，主要用于核算日常差旅费、印刷费、其他交通费用、公务用车运行维护费等。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2024年该项目预算13.86万元。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（十四）盟级招商引资项目资金</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为了促进我盟经济稳定增长、推动产业转型升级、增强经济发展新动能，需创新、务实开展招商引资前期工作。主要包括：招商引资项目策划包装及论证、印制相关推介材料；举办小型招商引资活动、利用新媒体推介我盟投资环境和招商项目；开展招商引资环境考察调研。举办招商引资工作培训和会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中共</w:t>
      </w:r>
      <w:r w:rsidR="00245BF7">
        <w:rPr>
          <w:rFonts w:ascii="仿宋" w:eastAsia="仿宋" w:hAnsi="仿宋" w:cs="仿宋"/>
          <w:kern w:val="2"/>
          <w:sz w:val="32"/>
          <w:szCs w:val="32"/>
        </w:rPr>
        <w:t>锡林郭勒盟</w:t>
      </w:r>
      <w:r>
        <w:rPr>
          <w:rFonts w:ascii="仿宋" w:eastAsia="仿宋" w:hAnsi="仿宋" w:cs="仿宋"/>
          <w:kern w:val="2"/>
          <w:sz w:val="32"/>
          <w:szCs w:val="32"/>
        </w:rPr>
        <w:t xml:space="preserve">委办公室 </w:t>
      </w:r>
      <w:r w:rsidR="00245BF7">
        <w:rPr>
          <w:rFonts w:ascii="仿宋" w:eastAsia="仿宋" w:hAnsi="仿宋" w:cs="仿宋"/>
          <w:kern w:val="2"/>
          <w:sz w:val="32"/>
          <w:szCs w:val="32"/>
        </w:rPr>
        <w:t>锡林郭勒盟</w:t>
      </w:r>
      <w:r>
        <w:rPr>
          <w:rFonts w:ascii="仿宋" w:eastAsia="仿宋" w:hAnsi="仿宋" w:cs="仿宋"/>
          <w:kern w:val="2"/>
          <w:sz w:val="32"/>
          <w:szCs w:val="32"/>
        </w:rPr>
        <w:t xml:space="preserve">行署办公室关于印发《锡林郭勒盟2021年招商引资工作方案》的通知（办字〔2021〕59号）、自治区党委办公厅 自治区政府办公厅关于2021年全国工商联主席高端峰会暨全国优强民营企业助推内蒙古高质量发展大会（内蒙古第四届蒙商大会）的通知、内蒙古自治区人民政府办公厅关于做好全国工商联助推内蒙古高质量发展招商引资推介会有关工作的通知（内政办便函〔2021〕25号）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用于办公费、印刷费、差旅费、其他交通费用、会议费、培训费。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2024年该项目预算7.01万元。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（十五）盟级职称评审成本性支出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用于全盟农牧业系列中初级职称评审工作。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《关于做好2023年全盟职称评审工作的通知》（锡人社发〔2023〕49号）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用于全盟农牧业系列中初级职称评审工作方面的评审费、会议费支出。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2024年该项目预算0.33万元。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（十六）种植业良法推广经费及化肥减量增效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用于种植业工作日常指导、监督、检查等方面；化肥减量增效试验指导、推广宣传、农户调查、土样化验检测等方面工作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关于印发《锡林郭勒盟2023年化肥减量增效项目实施方案》的通知（锡农牧种植字〔2023〕16号)、自治区2023年种植业良种良法推广经费（内财农〔2023〕313号）、中央2023年化肥减量增效（内财农〔2023〕621号）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 xml:space="preserve">农牧局4.实施方案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主要用于差旅费、公务用车运行维护费、其他交通费等方面支出。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2024年该项目预算1.20万元。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（十七）聘请第三方机构开展重点领域重点企业安全评估检查经费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聘请第三方机构开展重点领域重点企业安全评估检查。</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安全生产法</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用于委托业务费。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2024年该项目预算15万元。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（十八）农业外来入侵物种普查项目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用于督查指导13个旗县市区农业外来入侵物种更新调查工作，指导发生危害严重的重点区域开展防除试验示范、防治宣传与技术培训。</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根据内蒙古自治区农牧厅《关于印发2023年内蒙古农业外来入侵物种防控项目实施方案的通知》（内农牧科发〔2023〕40 号）、</w:t>
      </w:r>
      <w:r w:rsidR="00245BF7">
        <w:rPr>
          <w:rFonts w:ascii="仿宋" w:eastAsia="仿宋" w:hAnsi="仿宋" w:cs="仿宋"/>
          <w:kern w:val="2"/>
          <w:sz w:val="32"/>
          <w:szCs w:val="32"/>
        </w:rPr>
        <w:t>锡林郭勒盟</w:t>
      </w:r>
      <w:r>
        <w:rPr>
          <w:rFonts w:ascii="仿宋" w:eastAsia="仿宋" w:hAnsi="仿宋" w:cs="仿宋"/>
          <w:kern w:val="2"/>
          <w:sz w:val="32"/>
          <w:szCs w:val="32"/>
        </w:rPr>
        <w:t>财政局《关于下达2023年自治区本级部分农业相关转移支付资金的通知》(锡财农〔2023〕302号)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用于指导业务和下乡督查费用。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2024年该项目预算2.01万元。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（十九）饲料产品安全监管检测经费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1.项目概述</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本项目主要用于饲料质量安全监管、瘦肉精监测和企业生产现场</w:t>
      </w:r>
      <w:r>
        <w:rPr>
          <w:rFonts w:ascii="仿宋" w:eastAsia="仿宋" w:hAnsi="仿宋" w:cs="仿宋"/>
          <w:kern w:val="2"/>
          <w:sz w:val="32"/>
          <w:szCs w:val="32"/>
        </w:rPr>
        <w:lastRenderedPageBreak/>
        <w:t>检查。</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关于印发《内蒙古自治区2023年饲料质量安全监管工作方案》的通知（内农牧畜发〔2023〕61号）、自治区饲料产品安全监管检测经费（内财农〔2022〕1751号）。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3.实施主体</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4.实施方案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用于指导业务和下乡督查费用。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5.实施周期</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自2024年1月1日至2024年12月31日。</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2024年该项目预算0.50万元。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（二十）良种肉牛产业发展扶持项目资金及牲畜良种繁育项目资金和半农半牧区肉牛产业发展项目资金</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主要用于良种肉牛引进补贴、核心群奖励补贴、扶持育成育肥贴息补贴、进口奶牛补贴、为加强全盟畜牧良种繁育体系建设，加快人工授精技术推广，提高畜牧良种利用率，提升肉牛生产发展水平，增加农民收入。通过政府采购优质良种肉牛冷冻精液，以实物实补的方式发放使用优质肉牛冻精，以提升肉牛质量等相关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关于2023年锡林郭勒盟良种肉牛扶持办法》、锡林郭勒盟行政公署印发《关于促进全盟民族传统奶制品产业发展的实施意见》的通知（锡暑发〔2020〕46号、《关于下达2023年自治区本级部分农业相关转移支付资金的通知》（锡财农〔2023〕183号）、依据《锡林郭勒盟促进半农半牧区肉牛产业发展实施方案（2023-2025）》（锡党办发〔2023〕10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用于良种肉牛引进补贴、核心群奖励补贴、扶持育成育肥贴息补贴、进口奶牛补贴盟级配套资金、购置肉牛冷冻精液细管支出，以补贴盟本级肉牛良种繁育资金、肉牛胚胎移植工程工作经费、 验收工作经费。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2024年该项目预算12.29万元。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（二十一）落实国家农机购置补贴等工作经费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用于举办农机现场会、深松整地现场会、培训会、统计会议、绩效考核会、农机工作等会议及培训费；进行农机购置补贴户入户调查，大型机具质量调查、农机深松整地及全程机械化试点建设、检查等往</w:t>
      </w:r>
      <w:r>
        <w:rPr>
          <w:rFonts w:ascii="仿宋" w:eastAsia="仿宋" w:hAnsi="仿宋" w:cs="仿宋"/>
          <w:kern w:val="2"/>
          <w:sz w:val="32"/>
          <w:szCs w:val="32"/>
        </w:rPr>
        <w:lastRenderedPageBreak/>
        <w:t>返差旅费；开展农机补贴及安全生产等宣传工作印刷费及办公费，用于锡林郭勒盟农机购置补贴信息公开专栏网络维护费。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内蒙古自治区农牧厅、财政厅印发的《关于印发内蒙古2021-2023年农机购置补贴实施方案的通知》（内农牧机发〔2021〕283号）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主要用于印刷费、差旅费、维修（护）费、会议及培训费、租赁费等方面支出。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2024年该项目预算9.11万元。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（二十二）项目名称：锡林郭勒盟肉牛肉羊龙头企业助保贷引导资金贷款贴息</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根据《锡林郭勒盟肉牛肉羊龙头企业助保贷引导资金管理实施方案》（锡署办发〔2023〕51号），明确财政贴息资金由盟财政每年安排225万元（盟文化旅游投资发展有限公司）。</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根据《锡林郭勒盟肉牛肉羊龙头企业助保贷引导资金管理实施方案》（锡署办发〔2023〕51号）。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盟文化旅游投资发展有限公司</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贷款贴息</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2024年该项目预算225万元。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（二十三）</w:t>
      </w:r>
      <w:r w:rsidR="00245BF7">
        <w:rPr>
          <w:rFonts w:ascii="仿宋" w:eastAsia="仿宋" w:hAnsi="仿宋" w:cs="仿宋"/>
          <w:kern w:val="2"/>
          <w:sz w:val="32"/>
          <w:szCs w:val="32"/>
        </w:rPr>
        <w:t>锡林郭勒盟</w:t>
      </w:r>
      <w:r>
        <w:rPr>
          <w:rFonts w:ascii="仿宋" w:eastAsia="仿宋" w:hAnsi="仿宋" w:cs="仿宋"/>
          <w:kern w:val="2"/>
          <w:sz w:val="32"/>
          <w:szCs w:val="32"/>
        </w:rPr>
        <w:t>饲草饲料供应站人员工资、五项保险费等各项费用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主要用于在职12名职工的工资、五险一金、用于退休人员差额部分、伤残退休人员护理费、帮扶困难职工、子女助学等公益性支出费用。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锡林郭勒盟行政公署印发的《关于盟饲草饲料供应站所属草场划转及职工安置有关事宜的批复》（锡署字〔2015〕42号）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245BF7">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w:t>
      </w:r>
      <w:r w:rsidR="001609BB">
        <w:rPr>
          <w:rFonts w:ascii="仿宋" w:eastAsia="仿宋" w:hAnsi="仿宋" w:cs="仿宋"/>
          <w:kern w:val="2"/>
          <w:sz w:val="32"/>
          <w:szCs w:val="32"/>
        </w:rPr>
        <w:t>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主要用于在职12名职工的工资等方面94.1万元；用于五险一金31.13万元；用于退休人员差额部分、伤残退休人员护理费、帮扶困</w:t>
      </w:r>
      <w:r>
        <w:rPr>
          <w:rFonts w:ascii="仿宋" w:eastAsia="仿宋" w:hAnsi="仿宋" w:cs="仿宋"/>
          <w:kern w:val="2"/>
          <w:sz w:val="32"/>
          <w:szCs w:val="32"/>
        </w:rPr>
        <w:lastRenderedPageBreak/>
        <w:t>难职工、子女助学等公益性支出费用55.97万元。（其中阿旗124.01万元、锡市57.19万元）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2024年该项目预算181.2万元。</w:t>
      </w:r>
    </w:p>
    <w:p w:rsidR="00CA7ED3" w:rsidRDefault="001609BB">
      <w:pPr>
        <w:pBdr>
          <w:bottom w:val="single" w:sz="4" w:space="30" w:color="FFFFFF"/>
        </w:pBdr>
        <w:snapToGrid w:val="0"/>
        <w:spacing w:line="600" w:lineRule="exact"/>
        <w:rPr>
          <w:rFonts w:eastAsia="黑体" w:cs="黑体"/>
          <w:sz w:val="32"/>
          <w:szCs w:val="36"/>
        </w:rPr>
      </w:pPr>
      <w:r>
        <w:rPr>
          <w:rFonts w:ascii="黑体" w:eastAsia="黑体" w:hAnsi="黑体" w:cs="黑体" w:hint="eastAsia"/>
          <w:bCs/>
          <w:color w:val="000000" w:themeColor="text1"/>
          <w:sz w:val="32"/>
          <w:szCs w:val="32"/>
        </w:rPr>
        <w:t xml:space="preserve">    十一、</w:t>
      </w:r>
      <w:r>
        <w:rPr>
          <w:rFonts w:eastAsia="黑体" w:cs="黑体" w:hint="eastAsia"/>
          <w:sz w:val="32"/>
          <w:szCs w:val="36"/>
        </w:rPr>
        <w:t>一般公共预算机关运行经费支出预算情况说明</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2024年锡林郭勒盟农牧局单位</w:t>
      </w:r>
      <w:r>
        <w:rPr>
          <w:rFonts w:ascii="仿宋" w:eastAsia="仿宋" w:hAnsi="仿宋" w:cs="仿宋" w:hint="eastAsia"/>
          <w:sz w:val="32"/>
          <w:szCs w:val="32"/>
        </w:rPr>
        <w:t>一般公共预算机关运行经费预算支出</w:t>
      </w:r>
      <w:r>
        <w:rPr>
          <w:rFonts w:ascii="仿宋" w:eastAsia="仿宋" w:hAnsi="仿宋" w:cs="仿宋" w:hint="eastAsia"/>
          <w:sz w:val="32"/>
          <w:szCs w:val="32"/>
          <w:u w:val="single"/>
        </w:rPr>
        <w:t>175.19</w:t>
      </w:r>
      <w:r>
        <w:rPr>
          <w:rFonts w:ascii="仿宋" w:eastAsia="仿宋" w:hAnsi="仿宋" w:cs="仿宋" w:hint="eastAsia"/>
          <w:sz w:val="32"/>
          <w:szCs w:val="32"/>
        </w:rPr>
        <w:t>万元，主要包括以下支出：奖金</w:t>
      </w:r>
      <w:r>
        <w:rPr>
          <w:rFonts w:ascii="仿宋" w:eastAsia="仿宋" w:hAnsi="仿宋" w:cs="仿宋" w:hint="eastAsia"/>
          <w:sz w:val="32"/>
          <w:szCs w:val="32"/>
        </w:rPr>
        <w:tab/>
        <w:t>1.80万元、其他社会保障缴费9.47万元、手续费0.12万元、水费4.61万元、电费6.5万元、取暖费7.4万元、物业管理费25.12万元、公务接待费3.91万元、工会经费13.21万元、福利费12.82万元、公务用车运行维护费43万元、其他交通费用47.23万元。</w:t>
      </w:r>
      <w:r>
        <w:rPr>
          <w:rFonts w:ascii="仿宋" w:eastAsia="仿宋" w:hAnsi="仿宋" w:cs="仿宋" w:hint="eastAsia"/>
          <w:color w:val="000000" w:themeColor="text1"/>
          <w:sz w:val="32"/>
          <w:szCs w:val="32"/>
        </w:rPr>
        <w:t>与</w:t>
      </w:r>
      <w:r>
        <w:rPr>
          <w:rFonts w:ascii="仿宋" w:eastAsia="仿宋" w:hAnsi="仿宋" w:cs="仿宋" w:hint="eastAsia"/>
          <w:sz w:val="32"/>
          <w:szCs w:val="32"/>
        </w:rPr>
        <w:t>上年相比增加</w:t>
      </w:r>
      <w:r>
        <w:rPr>
          <w:rFonts w:ascii="仿宋" w:eastAsia="仿宋" w:hAnsi="仿宋" w:cs="仿宋" w:hint="eastAsia"/>
          <w:sz w:val="32"/>
          <w:szCs w:val="32"/>
          <w:u w:val="single"/>
        </w:rPr>
        <w:t>2.50</w:t>
      </w:r>
      <w:r>
        <w:rPr>
          <w:rFonts w:ascii="仿宋" w:eastAsia="仿宋" w:hAnsi="仿宋" w:cs="仿宋" w:hint="eastAsia"/>
          <w:sz w:val="32"/>
          <w:szCs w:val="32"/>
        </w:rPr>
        <w:t>万元，增长</w:t>
      </w:r>
      <w:r>
        <w:rPr>
          <w:rFonts w:ascii="仿宋" w:eastAsia="仿宋" w:hAnsi="仿宋" w:cs="仿宋" w:hint="eastAsia"/>
          <w:sz w:val="32"/>
          <w:szCs w:val="32"/>
          <w:u w:val="single"/>
        </w:rPr>
        <w:t>1.45</w:t>
      </w:r>
      <w:r>
        <w:rPr>
          <w:rFonts w:ascii="仿宋" w:eastAsia="仿宋" w:hAnsi="仿宋" w:cs="仿宋" w:hint="eastAsia"/>
          <w:sz w:val="32"/>
          <w:szCs w:val="32"/>
        </w:rPr>
        <w:t>%。主要原因是：人员调入，导致公车补贴增加。</w:t>
      </w:r>
    </w:p>
    <w:p w:rsidR="00CA7ED3" w:rsidRDefault="001609BB">
      <w:pPr>
        <w:pBdr>
          <w:bottom w:val="single" w:sz="4" w:space="30" w:color="FFFFFF"/>
        </w:pBdr>
        <w:snapToGrid w:val="0"/>
        <w:spacing w:line="600" w:lineRule="exact"/>
        <w:rPr>
          <w:rFonts w:eastAsia="仿宋_GB2312" w:cstheme="minorBidi"/>
          <w:sz w:val="32"/>
          <w:szCs w:val="32"/>
          <w:highlight w:val="yellow"/>
        </w:rPr>
      </w:pPr>
      <w:r>
        <w:rPr>
          <w:rFonts w:eastAsia="黑体" w:cs="黑体" w:hint="eastAsia"/>
          <w:sz w:val="32"/>
          <w:szCs w:val="36"/>
        </w:rPr>
        <w:t xml:space="preserve">    </w:t>
      </w:r>
      <w:r>
        <w:rPr>
          <w:rFonts w:eastAsia="黑体" w:cs="黑体" w:hint="eastAsia"/>
          <w:sz w:val="32"/>
          <w:szCs w:val="36"/>
        </w:rPr>
        <w:t>十二、政府采购支出预算情况说明</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2024年度政府采购支出预算总额</w:t>
      </w:r>
      <w:r>
        <w:rPr>
          <w:rFonts w:ascii="仿宋" w:eastAsia="仿宋" w:hAnsi="仿宋" w:cs="仿宋" w:hint="eastAsia"/>
          <w:sz w:val="32"/>
          <w:szCs w:val="32"/>
          <w:u w:val="single"/>
        </w:rPr>
        <w:t>277.79</w:t>
      </w:r>
      <w:r>
        <w:rPr>
          <w:rFonts w:ascii="仿宋" w:eastAsia="仿宋" w:hAnsi="仿宋" w:cs="仿宋" w:hint="eastAsia"/>
          <w:sz w:val="32"/>
          <w:szCs w:val="32"/>
        </w:rPr>
        <w:t>万元，其中：拟采购货物支出</w:t>
      </w:r>
      <w:r>
        <w:rPr>
          <w:rFonts w:ascii="仿宋" w:eastAsia="仿宋" w:hAnsi="仿宋" w:cs="仿宋" w:hint="eastAsia"/>
          <w:sz w:val="32"/>
          <w:szCs w:val="32"/>
          <w:u w:val="single"/>
        </w:rPr>
        <w:t>4.20</w:t>
      </w:r>
      <w:r>
        <w:rPr>
          <w:rFonts w:ascii="仿宋" w:eastAsia="仿宋" w:hAnsi="仿宋" w:cs="仿宋" w:hint="eastAsia"/>
          <w:sz w:val="32"/>
          <w:szCs w:val="32"/>
        </w:rPr>
        <w:t>万元、拟采购工程支出</w:t>
      </w:r>
      <w:r>
        <w:rPr>
          <w:rFonts w:ascii="仿宋" w:eastAsia="仿宋" w:hAnsi="仿宋" w:cs="仿宋" w:hint="eastAsia"/>
          <w:sz w:val="32"/>
          <w:szCs w:val="32"/>
          <w:u w:val="single"/>
        </w:rPr>
        <w:t>0</w:t>
      </w:r>
      <w:r>
        <w:rPr>
          <w:rFonts w:ascii="仿宋" w:eastAsia="仿宋" w:hAnsi="仿宋" w:cs="仿宋" w:hint="eastAsia"/>
          <w:sz w:val="32"/>
          <w:szCs w:val="32"/>
        </w:rPr>
        <w:t>万元、拟购买服务支出</w:t>
      </w:r>
      <w:r>
        <w:rPr>
          <w:rFonts w:ascii="仿宋" w:eastAsia="仿宋" w:hAnsi="仿宋" w:cs="仿宋" w:hint="eastAsia"/>
          <w:sz w:val="32"/>
          <w:szCs w:val="32"/>
          <w:u w:val="single"/>
        </w:rPr>
        <w:t>273.59</w:t>
      </w:r>
      <w:r>
        <w:rPr>
          <w:rFonts w:ascii="仿宋" w:eastAsia="仿宋" w:hAnsi="仿宋" w:cs="仿宋" w:hint="eastAsia"/>
          <w:sz w:val="32"/>
          <w:szCs w:val="32"/>
        </w:rPr>
        <w:t>。涵盖“计算机设备及软件”、“办公设备”、“印刷服务”、“公车加油服务”、“公车维修和保养服务”、“机动车保险服务”、“物业服务”、“复印纸”、、“其他专业技术服务”等采购大类，编制政府采购预算明细15项，采购金额来源为一般公共预算资金。</w:t>
      </w:r>
    </w:p>
    <w:p w:rsidR="00CA7ED3" w:rsidRDefault="001609BB">
      <w:pPr>
        <w:pBdr>
          <w:bottom w:val="single" w:sz="4" w:space="30" w:color="FFFFFF"/>
        </w:pBdr>
        <w:snapToGrid w:val="0"/>
        <w:spacing w:line="600" w:lineRule="exact"/>
        <w:rPr>
          <w:rFonts w:eastAsia="黑体" w:cs="黑体"/>
          <w:sz w:val="32"/>
          <w:szCs w:val="36"/>
        </w:rPr>
      </w:pPr>
      <w:r>
        <w:rPr>
          <w:rFonts w:eastAsia="黑体" w:cs="黑体" w:hint="eastAsia"/>
          <w:sz w:val="32"/>
          <w:szCs w:val="36"/>
        </w:rPr>
        <w:t xml:space="preserve">    </w:t>
      </w:r>
      <w:r>
        <w:rPr>
          <w:rFonts w:eastAsia="黑体" w:cs="黑体" w:hint="eastAsia"/>
          <w:sz w:val="32"/>
          <w:szCs w:val="36"/>
        </w:rPr>
        <w:t>十三、国有资产占用情况说明</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本单位共有车辆</w:t>
      </w:r>
      <w:r>
        <w:rPr>
          <w:rFonts w:ascii="仿宋" w:eastAsia="仿宋" w:hAnsi="仿宋" w:cs="仿宋" w:hint="eastAsia"/>
          <w:sz w:val="32"/>
          <w:szCs w:val="32"/>
          <w:u w:val="single"/>
        </w:rPr>
        <w:t>7</w:t>
      </w:r>
      <w:r>
        <w:rPr>
          <w:rFonts w:ascii="仿宋" w:eastAsia="仿宋" w:hAnsi="仿宋" w:cs="仿宋" w:hint="eastAsia"/>
          <w:sz w:val="32"/>
          <w:szCs w:val="32"/>
        </w:rPr>
        <w:t>辆，其中，一般公务用车</w:t>
      </w:r>
      <w:r>
        <w:rPr>
          <w:rFonts w:ascii="仿宋" w:eastAsia="仿宋" w:hAnsi="仿宋" w:cs="仿宋" w:hint="eastAsia"/>
          <w:sz w:val="32"/>
          <w:szCs w:val="32"/>
          <w:u w:val="single"/>
        </w:rPr>
        <w:t>2</w:t>
      </w:r>
      <w:r>
        <w:rPr>
          <w:rFonts w:ascii="仿宋" w:eastAsia="仿宋" w:hAnsi="仿宋" w:cs="仿宋" w:hint="eastAsia"/>
          <w:sz w:val="32"/>
          <w:szCs w:val="32"/>
        </w:rPr>
        <w:t>辆、执法执勤用车</w:t>
      </w:r>
      <w:r>
        <w:rPr>
          <w:rFonts w:ascii="仿宋" w:eastAsia="仿宋" w:hAnsi="仿宋" w:cs="仿宋" w:hint="eastAsia"/>
          <w:sz w:val="32"/>
          <w:szCs w:val="32"/>
          <w:u w:val="single"/>
        </w:rPr>
        <w:lastRenderedPageBreak/>
        <w:t>4</w:t>
      </w:r>
      <w:r>
        <w:rPr>
          <w:rFonts w:ascii="仿宋" w:eastAsia="仿宋" w:hAnsi="仿宋" w:cs="仿宋" w:hint="eastAsia"/>
          <w:sz w:val="32"/>
          <w:szCs w:val="32"/>
        </w:rPr>
        <w:t>辆、特种专业技术用车</w:t>
      </w:r>
      <w:r>
        <w:rPr>
          <w:rFonts w:ascii="仿宋" w:eastAsia="仿宋" w:hAnsi="仿宋" w:cs="仿宋" w:hint="eastAsia"/>
          <w:sz w:val="32"/>
          <w:szCs w:val="32"/>
          <w:u w:val="single"/>
        </w:rPr>
        <w:t>0</w:t>
      </w:r>
      <w:r>
        <w:rPr>
          <w:rFonts w:ascii="仿宋" w:eastAsia="仿宋" w:hAnsi="仿宋" w:cs="仿宋" w:hint="eastAsia"/>
          <w:sz w:val="32"/>
          <w:szCs w:val="32"/>
        </w:rPr>
        <w:t>辆、业务用车</w:t>
      </w:r>
      <w:r>
        <w:rPr>
          <w:rFonts w:ascii="仿宋" w:eastAsia="仿宋" w:hAnsi="仿宋" w:cs="仿宋" w:hint="eastAsia"/>
          <w:sz w:val="32"/>
          <w:szCs w:val="32"/>
          <w:u w:val="single"/>
        </w:rPr>
        <w:t>0</w:t>
      </w:r>
      <w:r>
        <w:rPr>
          <w:rFonts w:ascii="仿宋" w:eastAsia="仿宋" w:hAnsi="仿宋" w:cs="仿宋" w:hint="eastAsia"/>
          <w:sz w:val="32"/>
          <w:szCs w:val="32"/>
        </w:rPr>
        <w:t>辆、其他用车</w:t>
      </w:r>
      <w:r>
        <w:rPr>
          <w:rFonts w:ascii="仿宋" w:eastAsia="仿宋" w:hAnsi="仿宋" w:cs="仿宋" w:hint="eastAsia"/>
          <w:sz w:val="32"/>
          <w:szCs w:val="32"/>
          <w:u w:val="single"/>
        </w:rPr>
        <w:t>1</w:t>
      </w:r>
      <w:r>
        <w:rPr>
          <w:rFonts w:ascii="仿宋" w:eastAsia="仿宋" w:hAnsi="仿宋" w:cs="仿宋" w:hint="eastAsia"/>
          <w:sz w:val="32"/>
          <w:szCs w:val="32"/>
        </w:rPr>
        <w:t>辆等。单价50万元（含）以上的通用设备</w:t>
      </w:r>
      <w:r>
        <w:rPr>
          <w:rFonts w:ascii="仿宋" w:eastAsia="仿宋" w:hAnsi="仿宋" w:cs="仿宋" w:hint="eastAsia"/>
          <w:sz w:val="32"/>
          <w:szCs w:val="32"/>
          <w:u w:val="single"/>
        </w:rPr>
        <w:t>0</w:t>
      </w:r>
      <w:r>
        <w:rPr>
          <w:rFonts w:ascii="仿宋" w:eastAsia="仿宋" w:hAnsi="仿宋" w:cs="仿宋" w:hint="eastAsia"/>
          <w:sz w:val="32"/>
          <w:szCs w:val="32"/>
        </w:rPr>
        <w:t>台（套），单价100万元（含）以上的专用设备</w:t>
      </w:r>
      <w:r>
        <w:rPr>
          <w:rFonts w:ascii="仿宋" w:eastAsia="仿宋" w:hAnsi="仿宋" w:cs="仿宋" w:hint="eastAsia"/>
          <w:sz w:val="32"/>
          <w:szCs w:val="32"/>
          <w:u w:val="single"/>
        </w:rPr>
        <w:t>0</w:t>
      </w:r>
      <w:r>
        <w:rPr>
          <w:rFonts w:ascii="仿宋" w:eastAsia="仿宋" w:hAnsi="仿宋" w:cs="仿宋" w:hint="eastAsia"/>
          <w:sz w:val="32"/>
          <w:szCs w:val="32"/>
        </w:rPr>
        <w:t>台（套）。</w:t>
      </w:r>
    </w:p>
    <w:p w:rsidR="00CA7ED3" w:rsidRDefault="001609BB">
      <w:pPr>
        <w:pBdr>
          <w:bottom w:val="single" w:sz="4" w:space="30" w:color="FFFFFF"/>
        </w:pBdr>
        <w:snapToGrid w:val="0"/>
        <w:spacing w:line="600" w:lineRule="exact"/>
        <w:rPr>
          <w:rFonts w:eastAsia="仿宋_GB2312" w:cstheme="minorBidi"/>
          <w:sz w:val="32"/>
          <w:szCs w:val="32"/>
        </w:rPr>
      </w:pPr>
      <w:r>
        <w:rPr>
          <w:rFonts w:eastAsia="黑体" w:cs="黑体" w:hint="eastAsia"/>
          <w:sz w:val="32"/>
          <w:szCs w:val="36"/>
        </w:rPr>
        <w:t xml:space="preserve">    </w:t>
      </w:r>
      <w:r>
        <w:rPr>
          <w:rFonts w:eastAsia="黑体" w:cs="黑体" w:hint="eastAsia"/>
          <w:sz w:val="32"/>
          <w:szCs w:val="36"/>
        </w:rPr>
        <w:t>十四、项目绩效目标情况说明</w:t>
      </w:r>
      <w:r>
        <w:rPr>
          <w:rFonts w:eastAsia="黑体" w:cs="黑体" w:hint="eastAsia"/>
          <w:b/>
          <w:bCs/>
          <w:sz w:val="32"/>
          <w:szCs w:val="36"/>
        </w:rPr>
        <w:t xml:space="preserve"> </w:t>
      </w:r>
    </w:p>
    <w:p w:rsidR="00CA7ED3" w:rsidRDefault="001609BB">
      <w:pPr>
        <w:pBdr>
          <w:bottom w:val="single" w:sz="4" w:space="30" w:color="FFFFFF"/>
        </w:pBdr>
        <w:snapToGrid w:val="0"/>
        <w:spacing w:line="600" w:lineRule="exact"/>
        <w:rPr>
          <w:rFonts w:ascii="仿宋" w:eastAsia="仿宋" w:hAnsi="仿宋" w:cs="仿宋"/>
          <w:sz w:val="32"/>
          <w:szCs w:val="32"/>
        </w:rPr>
      </w:pPr>
      <w:r>
        <w:rPr>
          <w:rFonts w:eastAsia="黑体" w:cs="黑体" w:hint="eastAsia"/>
          <w:b/>
          <w:bCs/>
          <w:sz w:val="32"/>
          <w:szCs w:val="36"/>
        </w:rPr>
        <w:t xml:space="preserve">  </w:t>
      </w:r>
      <w:r>
        <w:rPr>
          <w:rFonts w:ascii="仿宋" w:eastAsia="仿宋" w:hAnsi="仿宋" w:cs="仿宋" w:hint="eastAsia"/>
          <w:b/>
          <w:bCs/>
          <w:sz w:val="32"/>
          <w:szCs w:val="36"/>
        </w:rPr>
        <w:t xml:space="preserve"> 2024</w:t>
      </w:r>
      <w:r>
        <w:rPr>
          <w:rFonts w:ascii="仿宋" w:eastAsia="仿宋" w:hAnsi="仿宋" w:cs="仿宋" w:hint="eastAsia"/>
          <w:sz w:val="32"/>
          <w:szCs w:val="32"/>
        </w:rPr>
        <w:t>年，填报绩效目标的预算项目</w:t>
      </w:r>
      <w:r>
        <w:rPr>
          <w:rFonts w:ascii="仿宋" w:eastAsia="仿宋" w:hAnsi="仿宋" w:cs="仿宋" w:hint="eastAsia"/>
          <w:sz w:val="32"/>
          <w:szCs w:val="32"/>
          <w:u w:val="single"/>
        </w:rPr>
        <w:t>24</w:t>
      </w:r>
      <w:r>
        <w:rPr>
          <w:rFonts w:ascii="仿宋" w:eastAsia="仿宋" w:hAnsi="仿宋" w:cs="仿宋" w:hint="eastAsia"/>
          <w:sz w:val="32"/>
          <w:szCs w:val="32"/>
        </w:rPr>
        <w:t>个，公开绩效目标</w:t>
      </w:r>
      <w:r>
        <w:rPr>
          <w:rFonts w:ascii="仿宋" w:eastAsia="仿宋" w:hAnsi="仿宋" w:cs="仿宋" w:hint="eastAsia"/>
          <w:sz w:val="32"/>
          <w:szCs w:val="32"/>
          <w:u w:val="single"/>
        </w:rPr>
        <w:t>24</w:t>
      </w:r>
      <w:r>
        <w:rPr>
          <w:rFonts w:ascii="仿宋" w:eastAsia="仿宋" w:hAnsi="仿宋" w:cs="仿宋" w:hint="eastAsia"/>
          <w:sz w:val="32"/>
          <w:szCs w:val="32"/>
        </w:rPr>
        <w:t>个，公开项目占全部预算项目的100 %。公开填报绩效目标的项目预算</w:t>
      </w:r>
      <w:r>
        <w:rPr>
          <w:rFonts w:ascii="仿宋" w:eastAsia="仿宋" w:hAnsi="仿宋" w:cs="仿宋" w:hint="eastAsia"/>
          <w:sz w:val="32"/>
          <w:szCs w:val="32"/>
          <w:u w:val="single"/>
        </w:rPr>
        <w:t>2114.11</w:t>
      </w:r>
      <w:r>
        <w:rPr>
          <w:rFonts w:ascii="仿宋" w:eastAsia="仿宋" w:hAnsi="仿宋" w:cs="仿宋" w:hint="eastAsia"/>
          <w:sz w:val="32"/>
          <w:szCs w:val="32"/>
        </w:rPr>
        <w:t>万元，占全部项目预算的100%。</w:t>
      </w:r>
    </w:p>
    <w:p w:rsidR="00CA7ED3" w:rsidRDefault="00CA7ED3">
      <w:pPr>
        <w:pStyle w:val="BodyTextFirstIndent21"/>
        <w:ind w:leftChars="0" w:left="0" w:firstLineChars="0" w:firstLine="0"/>
        <w:rPr>
          <w:rFonts w:eastAsia="仿宋_GB2312" w:cstheme="minorBidi"/>
          <w:sz w:val="32"/>
          <w:szCs w:val="32"/>
        </w:rPr>
      </w:pPr>
    </w:p>
    <w:p w:rsidR="00CA7ED3" w:rsidRDefault="00CA7ED3">
      <w:pPr>
        <w:pStyle w:val="BodyTextFirstIndent21"/>
        <w:ind w:leftChars="0" w:left="0" w:firstLineChars="0" w:firstLine="0"/>
        <w:rPr>
          <w:rFonts w:eastAsia="仿宋_GB2312" w:cstheme="minorBidi"/>
          <w:sz w:val="32"/>
          <w:szCs w:val="32"/>
        </w:rPr>
      </w:pPr>
    </w:p>
    <w:p w:rsidR="00CA7ED3" w:rsidRDefault="001609BB">
      <w:pPr>
        <w:pStyle w:val="4"/>
        <w:tabs>
          <w:tab w:val="left" w:pos="4392"/>
        </w:tabs>
        <w:spacing w:before="0" w:after="0" w:line="600" w:lineRule="exact"/>
        <w:ind w:firstLineChars="200" w:firstLine="720"/>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第三部分   名词解释</w:t>
      </w:r>
    </w:p>
    <w:p w:rsidR="00CA7ED3" w:rsidRDefault="00CA7ED3">
      <w:pPr>
        <w:rPr>
          <w:sz w:val="36"/>
          <w:szCs w:val="36"/>
        </w:rPr>
      </w:pP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一、财政拨款：</w:t>
      </w:r>
      <w:r>
        <w:rPr>
          <w:rFonts w:ascii="仿宋" w:eastAsia="仿宋" w:hAnsi="仿宋" w:cs="仿宋" w:hint="eastAsia"/>
          <w:sz w:val="32"/>
          <w:szCs w:val="32"/>
        </w:rPr>
        <w:t>部门/单位从同级财政部门取得的各类财政拨款，包括一般公共预算拨款、政府性基金预算拨款、国有资本经营预算拨款。</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二、一般公共预算拨款收入：</w:t>
      </w:r>
      <w:r>
        <w:rPr>
          <w:rFonts w:ascii="仿宋" w:eastAsia="仿宋" w:hAnsi="仿宋" w:cs="仿宋" w:hint="eastAsia"/>
          <w:sz w:val="32"/>
          <w:szCs w:val="32"/>
        </w:rPr>
        <w:t>指市级财政当年拨付的资金。</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三、财政专户管理资金：</w:t>
      </w:r>
      <w:r>
        <w:rPr>
          <w:rFonts w:ascii="仿宋" w:eastAsia="仿宋" w:hAnsi="仿宋" w:cs="仿宋" w:hint="eastAsia"/>
          <w:sz w:val="32"/>
          <w:szCs w:val="32"/>
        </w:rPr>
        <w:t>缴入财政专户、实行专项管理的高中以上学费、住宿费、高校委托培养费、函大、电大、夜大及短训班培训费等教育收费。</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四、单位资金：</w:t>
      </w:r>
      <w:r>
        <w:rPr>
          <w:rFonts w:ascii="仿宋" w:eastAsia="仿宋" w:hAnsi="仿宋" w:cs="仿宋" w:hint="eastAsia"/>
          <w:sz w:val="32"/>
          <w:szCs w:val="32"/>
        </w:rPr>
        <w:t>除财政拨款收入和财政专户管理资金以外的收入，包括事业收入（不含教育收费）、上级补助收入、附属单位上缴收入、事业单位经营收入及其他收入（包含债务收入、投资收益等）。</w:t>
      </w:r>
    </w:p>
    <w:p w:rsidR="00CA7ED3" w:rsidRDefault="001609BB">
      <w:pPr>
        <w:spacing w:line="600" w:lineRule="exact"/>
        <w:ind w:firstLineChars="200" w:firstLine="641"/>
        <w:rPr>
          <w:rFonts w:eastAsia="仿宋_GB2312" w:cstheme="minorBidi"/>
          <w:sz w:val="32"/>
          <w:szCs w:val="32"/>
        </w:rPr>
      </w:pPr>
      <w:r>
        <w:rPr>
          <w:rFonts w:eastAsia="仿宋_GB2312" w:cstheme="minorBidi" w:hint="eastAsia"/>
          <w:b/>
          <w:bCs/>
          <w:sz w:val="32"/>
          <w:szCs w:val="32"/>
        </w:rPr>
        <w:t>五、基本支出：</w:t>
      </w:r>
      <w:r>
        <w:rPr>
          <w:rFonts w:ascii="仿宋" w:eastAsia="仿宋" w:hAnsi="仿宋" w:cs="仿宋" w:hint="eastAsia"/>
          <w:sz w:val="32"/>
          <w:szCs w:val="32"/>
        </w:rPr>
        <w:t>指为保障机构正常运转、完成工作任务而发生的人员支出和公用支出。</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lastRenderedPageBreak/>
        <w:t>六、项目支出：</w:t>
      </w:r>
      <w:r>
        <w:rPr>
          <w:rFonts w:ascii="仿宋" w:eastAsia="仿宋" w:hAnsi="仿宋" w:cs="仿宋" w:hint="eastAsia"/>
          <w:sz w:val="32"/>
          <w:szCs w:val="32"/>
        </w:rPr>
        <w:t>指在基本支出之外为完成特定工作任务和事业发展目标所发生的支出。</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七、对个人和家庭的补助：</w:t>
      </w:r>
      <w:r>
        <w:rPr>
          <w:rFonts w:ascii="仿宋" w:eastAsia="仿宋" w:hAnsi="仿宋" w:cs="仿宋" w:hint="eastAsia"/>
          <w:sz w:val="32"/>
          <w:szCs w:val="32"/>
        </w:rPr>
        <w:t>是指政府用于对个人和家庭的补助支出。</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八、“三公”经费：</w:t>
      </w:r>
      <w:r>
        <w:rPr>
          <w:rFonts w:ascii="仿宋" w:eastAsia="仿宋" w:hAnsi="仿宋" w:cs="仿宋" w:hint="eastAsia"/>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九、机关运行经费：</w:t>
      </w:r>
      <w:r>
        <w:rPr>
          <w:rFonts w:ascii="仿宋" w:eastAsia="仿宋" w:hAnsi="仿宋" w:cs="仿宋" w:hint="eastAsia"/>
          <w:sz w:val="32"/>
          <w:szCs w:val="32"/>
        </w:rPr>
        <w:t>指部门/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CA7ED3" w:rsidRDefault="00CA7ED3">
      <w:pPr>
        <w:spacing w:line="600" w:lineRule="exact"/>
        <w:ind w:firstLineChars="200" w:firstLine="641"/>
        <w:rPr>
          <w:rFonts w:eastAsia="仿宋_GB2312" w:cstheme="minorBidi"/>
          <w:b/>
          <w:bCs/>
          <w:sz w:val="32"/>
          <w:szCs w:val="32"/>
        </w:rPr>
      </w:pPr>
    </w:p>
    <w:p w:rsidR="00CA7ED3" w:rsidRDefault="00CA7ED3">
      <w:pPr>
        <w:spacing w:line="600" w:lineRule="exact"/>
        <w:jc w:val="center"/>
        <w:rPr>
          <w:rFonts w:ascii="方正小标宋简体" w:eastAsia="方正小标宋简体" w:hAnsi="方正小标宋简体" w:cs="方正小标宋简体"/>
          <w:sz w:val="36"/>
          <w:szCs w:val="36"/>
        </w:rPr>
      </w:pPr>
    </w:p>
    <w:p w:rsidR="00CA7ED3" w:rsidRDefault="00CA7ED3">
      <w:pPr>
        <w:pStyle w:val="BodyTextFirstIndent21"/>
        <w:ind w:firstLine="720"/>
        <w:rPr>
          <w:rFonts w:ascii="方正小标宋简体" w:eastAsia="方正小标宋简体" w:hAnsi="方正小标宋简体" w:cs="方正小标宋简体"/>
          <w:sz w:val="36"/>
          <w:szCs w:val="36"/>
        </w:rPr>
      </w:pPr>
    </w:p>
    <w:p w:rsidR="00CA7ED3" w:rsidRDefault="001609BB">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第四部分</w:t>
      </w:r>
      <w:r>
        <w:rPr>
          <w:rFonts w:ascii="仿宋" w:eastAsia="仿宋" w:hAnsi="仿宋" w:cs="仿宋" w:hint="eastAsia"/>
          <w:sz w:val="36"/>
          <w:szCs w:val="36"/>
        </w:rPr>
        <w:t xml:space="preserve"> </w:t>
      </w:r>
      <w:r>
        <w:rPr>
          <w:rFonts w:ascii="方正小标宋简体" w:eastAsia="方正小标宋简体" w:hAnsi="方正小标宋简体" w:cs="方正小标宋简体" w:hint="eastAsia"/>
          <w:sz w:val="36"/>
          <w:szCs w:val="36"/>
        </w:rPr>
        <w:t>预算公开联系方式及信息反馈渠道</w:t>
      </w:r>
    </w:p>
    <w:p w:rsidR="00CA7ED3" w:rsidRDefault="00CA7ED3">
      <w:pPr>
        <w:snapToGrid w:val="0"/>
        <w:spacing w:line="600" w:lineRule="exact"/>
        <w:rPr>
          <w:rFonts w:ascii="方正小标宋简体" w:eastAsia="方正小标宋简体" w:hAnsi="方正小标宋简体" w:cs="方正小标宋简体"/>
          <w:sz w:val="36"/>
          <w:szCs w:val="36"/>
        </w:rPr>
      </w:pPr>
    </w:p>
    <w:p w:rsidR="00CA7ED3" w:rsidRDefault="001609BB">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本单位预算公开信息反馈和联系方式：</w:t>
      </w:r>
    </w:p>
    <w:p w:rsidR="00CA7ED3" w:rsidRDefault="001609BB">
      <w:pPr>
        <w:snapToGrid w:val="0"/>
        <w:spacing w:line="600" w:lineRule="exact"/>
        <w:ind w:firstLineChars="200" w:firstLine="640"/>
        <w:rPr>
          <w:rFonts w:ascii="仿宋_GB2312" w:eastAsia="仿宋_GB2312" w:hAnsi="仿宋_GB2312" w:cs="仿宋_GB2312"/>
          <w:sz w:val="32"/>
          <w:szCs w:val="32"/>
        </w:rPr>
        <w:sectPr w:rsidR="00CA7ED3">
          <w:pgSz w:w="11910" w:h="16840"/>
          <w:pgMar w:top="1580" w:right="1020" w:bottom="280" w:left="1240" w:header="720" w:footer="720" w:gutter="0"/>
          <w:pgNumType w:fmt="numberInDash"/>
          <w:cols w:space="720"/>
        </w:sectPr>
      </w:pPr>
      <w:r>
        <w:rPr>
          <w:rFonts w:ascii="仿宋_GB2312" w:eastAsia="仿宋_GB2312" w:hAnsi="仿宋_GB2312" w:cs="仿宋_GB2312" w:hint="eastAsia"/>
          <w:sz w:val="32"/>
          <w:szCs w:val="32"/>
        </w:rPr>
        <w:t>联系人：巴乙苏拉               联系电话：0479-8214477</w:t>
      </w:r>
    </w:p>
    <w:p w:rsidR="00CA7ED3" w:rsidRDefault="001609BB">
      <w:pPr>
        <w:pStyle w:val="4"/>
        <w:numPr>
          <w:ilvl w:val="0"/>
          <w:numId w:val="3"/>
        </w:numPr>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lastRenderedPageBreak/>
        <w:t xml:space="preserve"> 2024年度锡林郭勒盟农牧局（本级）单位预算表</w:t>
      </w:r>
    </w:p>
    <w:p w:rsidR="00CA7ED3" w:rsidRDefault="00CA7ED3"/>
    <w:p w:rsidR="00CA7ED3" w:rsidRDefault="00CA7ED3">
      <w:pPr>
        <w:pStyle w:val="BodyTextFirstIndent21"/>
      </w:pP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一、收支总表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二、收入总表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三、支出总表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四、财政拨款收支总表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五、一般公共预算支出表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六、一般公共预算基本支出表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七、一般公共预算“三公”经费支出表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八、政府性基金预算支出表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九、国有资本经营预算支出表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十、项目支出表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十一、项目绩效目标表</w:t>
      </w:r>
    </w:p>
    <w:p w:rsidR="00CA7ED3" w:rsidRDefault="001609BB">
      <w:pPr>
        <w:spacing w:line="600" w:lineRule="exact"/>
        <w:ind w:firstLineChars="200" w:firstLine="600"/>
        <w:rPr>
          <w:rFonts w:eastAsia="仿宋_GB2312" w:cstheme="minorBidi"/>
          <w:sz w:val="30"/>
          <w:szCs w:val="30"/>
        </w:rPr>
      </w:pPr>
      <w:r>
        <w:rPr>
          <w:rFonts w:ascii="仿宋" w:eastAsia="仿宋" w:hAnsi="仿宋" w:cs="仿宋" w:hint="eastAsia"/>
          <w:sz w:val="30"/>
          <w:szCs w:val="30"/>
        </w:rPr>
        <w:t>十二、政府采购预算表</w:t>
      </w:r>
    </w:p>
    <w:sectPr w:rsidR="00CA7ED3">
      <w:pgSz w:w="11910" w:h="16840"/>
      <w:pgMar w:top="1580" w:right="1080" w:bottom="280" w:left="1080"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B2" w:rsidRDefault="00453BB2">
      <w:r>
        <w:separator/>
      </w:r>
    </w:p>
  </w:endnote>
  <w:endnote w:type="continuationSeparator" w:id="0">
    <w:p w:rsidR="00453BB2" w:rsidRDefault="0045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80E0000" w:usb2="00000010" w:usb3="00000000" w:csb0="00040000" w:csb1="00000000"/>
    <w:embedRegular r:id="rId1" w:subsetted="1" w:fontKey="{76ACCA53-EFF1-4B6A-A0E9-4A2D7E2A37D7}"/>
    <w:embedBold r:id="rId2" w:fontKey="{37FFF0EA-EEBC-424D-A9E8-E57355EA14D4}"/>
  </w:font>
  <w:font w:name="等线">
    <w:panose1 w:val="02010600030101010101"/>
    <w:charset w:val="86"/>
    <w:family w:val="auto"/>
    <w:pitch w:val="variable"/>
    <w:sig w:usb0="A00002BF" w:usb1="38CF7CFA" w:usb2="00000016" w:usb3="00000000" w:csb0="0004000F" w:csb1="00000000"/>
    <w:embedRegular r:id="rId3" w:subsetted="1" w:fontKey="{5F2E2363-E199-47C8-8FFF-D7BAF1FB684B}"/>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embedRegular r:id="rId4" w:subsetted="1" w:fontKey="{7873F867-A540-4ED1-999C-77292E46E492}"/>
  </w:font>
  <w:font w:name="Helv">
    <w:panose1 w:val="020B060402020203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5" w:subsetted="1" w:fontKey="{DE3950EB-CF5B-4A62-806C-723A8D32732B}"/>
    <w:embedBold r:id="rId6" w:subsetted="1" w:fontKey="{85DCD461-9D99-4DBF-BA69-7EFDCA313C8A}"/>
  </w:font>
  <w:font w:name="楷体">
    <w:panose1 w:val="02010609060101010101"/>
    <w:charset w:val="86"/>
    <w:family w:val="modern"/>
    <w:pitch w:val="fixed"/>
    <w:sig w:usb0="800002BF" w:usb1="38CF7CFA" w:usb2="00000016" w:usb3="00000000" w:csb0="00040001" w:csb1="00000000"/>
    <w:embedBold r:id="rId7" w:subsetted="1" w:fontKey="{1FC79E76-300C-4F85-9B19-BE1F7A5C120A}"/>
  </w:font>
  <w:font w:name="楷体_GB2312">
    <w:altName w:val="楷体"/>
    <w:charset w:val="86"/>
    <w:family w:val="auto"/>
    <w:pitch w:val="default"/>
    <w:sig w:usb0="00000000" w:usb1="00000000" w:usb2="00000000" w:usb3="00000000" w:csb0="00040000" w:csb1="00000000"/>
    <w:embedBold r:id="rId8" w:subsetted="1" w:fontKey="{4BB29722-8CD2-4905-BE75-533EB94BE0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D3" w:rsidRDefault="001609BB">
    <w:pPr>
      <w:pStyle w:val="a9"/>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A7ED3" w:rsidRDefault="001609BB">
                          <w:pPr>
                            <w:pStyle w:val="a9"/>
                          </w:pPr>
                          <w:r>
                            <w:fldChar w:fldCharType="begin"/>
                          </w:r>
                          <w:r>
                            <w:instrText xml:space="preserve"> PAGE  \* MERGEFORMAT </w:instrText>
                          </w:r>
                          <w:r>
                            <w:fldChar w:fldCharType="separate"/>
                          </w:r>
                          <w:r w:rsidR="00245BF7">
                            <w:rPr>
                              <w:noProof/>
                            </w:rPr>
                            <w:t>- 30 -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6"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EZAIAAA4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n3IRkAgAADgUAAA4AAAAAAAAAAAAAAAAALgIAAGRycy9lMm9Eb2Mu&#10;eG1sUEsBAi0AFAAGAAgAAAAhAHGq0bnXAAAABQEAAA8AAAAAAAAAAAAAAAAAvgQAAGRycy9kb3du&#10;cmV2LnhtbFBLBQYAAAAABAAEAPMAAADCBQAAAAA=&#10;" filled="f" stroked="f" strokeweight=".5pt">
              <v:textbox style="mso-fit-shape-to-text:t" inset="0,0,0,0">
                <w:txbxContent>
                  <w:p w:rsidR="00CA7ED3" w:rsidRDefault="001609BB">
                    <w:pPr>
                      <w:pStyle w:val="a9"/>
                    </w:pPr>
                    <w:r>
                      <w:fldChar w:fldCharType="begin"/>
                    </w:r>
                    <w:r>
                      <w:instrText xml:space="preserve"> PAGE  \* MERGEFORMAT </w:instrText>
                    </w:r>
                    <w:r>
                      <w:fldChar w:fldCharType="separate"/>
                    </w:r>
                    <w:r w:rsidR="00245BF7">
                      <w:rPr>
                        <w:noProof/>
                      </w:rPr>
                      <w:t>- 30 -</w:t>
                    </w:r>
                    <w:r>
                      <w:fldChar w:fldCharType="end"/>
                    </w:r>
                  </w:p>
                </w:txbxContent>
              </v:textbox>
              <w10:wrap anchorx="margin"/>
            </v:shape>
          </w:pict>
        </mc:Fallback>
      </mc:AlternateContent>
    </w:r>
  </w:p>
  <w:p w:rsidR="00CA7ED3" w:rsidRDefault="00CA7E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B2" w:rsidRDefault="00453BB2">
      <w:r>
        <w:separator/>
      </w:r>
    </w:p>
  </w:footnote>
  <w:footnote w:type="continuationSeparator" w:id="0">
    <w:p w:rsidR="00453BB2" w:rsidRDefault="00453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D3" w:rsidRDefault="00CA7ED3">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D2634AD"/>
    <w:multiLevelType w:val="singleLevel"/>
    <w:tmpl w:val="ED2634AD"/>
    <w:lvl w:ilvl="0">
      <w:start w:val="5"/>
      <w:numFmt w:val="chineseCounting"/>
      <w:suff w:val="space"/>
      <w:lvlText w:val="第%1部分"/>
      <w:lvlJc w:val="left"/>
      <w:rPr>
        <w:rFonts w:hint="eastAsia"/>
      </w:rPr>
    </w:lvl>
  </w:abstractNum>
  <w:abstractNum w:abstractNumId="1">
    <w:nsid w:val="3265B7C3"/>
    <w:multiLevelType w:val="singleLevel"/>
    <w:tmpl w:val="3265B7C3"/>
    <w:lvl w:ilvl="0">
      <w:start w:val="1"/>
      <w:numFmt w:val="chineseCounting"/>
      <w:suff w:val="nothing"/>
      <w:lvlText w:val="%1、"/>
      <w:lvlJc w:val="left"/>
      <w:rPr>
        <w:rFonts w:hint="eastAsia"/>
      </w:rPr>
    </w:lvl>
  </w:abstractNum>
  <w:abstractNum w:abstractNumId="2">
    <w:nsid w:val="4EC74364"/>
    <w:multiLevelType w:val="singleLevel"/>
    <w:tmpl w:val="4EC74364"/>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MDY0MzVlZWVjY2YxNzE4MWI5ZGY5NThlNDUxODMifQ=="/>
  </w:docVars>
  <w:rsids>
    <w:rsidRoot w:val="00172A27"/>
    <w:rsid w:val="E46DF715"/>
    <w:rsid w:val="EBBBE663"/>
    <w:rsid w:val="F5D5012D"/>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517C8"/>
    <w:rsid w:val="00052722"/>
    <w:rsid w:val="00052AB3"/>
    <w:rsid w:val="000530B5"/>
    <w:rsid w:val="000547DF"/>
    <w:rsid w:val="0005634A"/>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6E16"/>
    <w:rsid w:val="001114EC"/>
    <w:rsid w:val="00112A96"/>
    <w:rsid w:val="001133DF"/>
    <w:rsid w:val="00114F9E"/>
    <w:rsid w:val="001151B8"/>
    <w:rsid w:val="00122854"/>
    <w:rsid w:val="00122B22"/>
    <w:rsid w:val="00123EEA"/>
    <w:rsid w:val="00126508"/>
    <w:rsid w:val="001329DF"/>
    <w:rsid w:val="001342A7"/>
    <w:rsid w:val="001357A3"/>
    <w:rsid w:val="001373C8"/>
    <w:rsid w:val="00142E3E"/>
    <w:rsid w:val="001432CD"/>
    <w:rsid w:val="0014381D"/>
    <w:rsid w:val="0014464F"/>
    <w:rsid w:val="00152205"/>
    <w:rsid w:val="00153AFD"/>
    <w:rsid w:val="00155332"/>
    <w:rsid w:val="00155E13"/>
    <w:rsid w:val="00157214"/>
    <w:rsid w:val="001602D6"/>
    <w:rsid w:val="001609BB"/>
    <w:rsid w:val="00163244"/>
    <w:rsid w:val="00163F67"/>
    <w:rsid w:val="00172A27"/>
    <w:rsid w:val="001735FD"/>
    <w:rsid w:val="001738CA"/>
    <w:rsid w:val="00175368"/>
    <w:rsid w:val="00175AE0"/>
    <w:rsid w:val="001802D6"/>
    <w:rsid w:val="00191536"/>
    <w:rsid w:val="00193879"/>
    <w:rsid w:val="001940E1"/>
    <w:rsid w:val="00196BA0"/>
    <w:rsid w:val="0019719A"/>
    <w:rsid w:val="001A02B5"/>
    <w:rsid w:val="001A1BDF"/>
    <w:rsid w:val="001A2F89"/>
    <w:rsid w:val="001A3158"/>
    <w:rsid w:val="001A3CE2"/>
    <w:rsid w:val="001A5241"/>
    <w:rsid w:val="001B012D"/>
    <w:rsid w:val="001B0DDF"/>
    <w:rsid w:val="001B1449"/>
    <w:rsid w:val="001B3621"/>
    <w:rsid w:val="001B4457"/>
    <w:rsid w:val="001B5368"/>
    <w:rsid w:val="001B5EC9"/>
    <w:rsid w:val="001B7FCD"/>
    <w:rsid w:val="001C0CDF"/>
    <w:rsid w:val="001C4010"/>
    <w:rsid w:val="001C6BF1"/>
    <w:rsid w:val="001D3C7E"/>
    <w:rsid w:val="001D6D0B"/>
    <w:rsid w:val="001D7958"/>
    <w:rsid w:val="001E0433"/>
    <w:rsid w:val="001E0815"/>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31E6"/>
    <w:rsid w:val="0024416D"/>
    <w:rsid w:val="00244B90"/>
    <w:rsid w:val="00245BF7"/>
    <w:rsid w:val="00245FFD"/>
    <w:rsid w:val="0025052F"/>
    <w:rsid w:val="0025133B"/>
    <w:rsid w:val="002519F2"/>
    <w:rsid w:val="00251E52"/>
    <w:rsid w:val="00252024"/>
    <w:rsid w:val="00252295"/>
    <w:rsid w:val="002604EC"/>
    <w:rsid w:val="0026390E"/>
    <w:rsid w:val="00266811"/>
    <w:rsid w:val="00266E55"/>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1F"/>
    <w:rsid w:val="002A1A3B"/>
    <w:rsid w:val="002A25F0"/>
    <w:rsid w:val="002A38DC"/>
    <w:rsid w:val="002A3F94"/>
    <w:rsid w:val="002A4CC2"/>
    <w:rsid w:val="002B0E96"/>
    <w:rsid w:val="002B21CC"/>
    <w:rsid w:val="002B3658"/>
    <w:rsid w:val="002B37C5"/>
    <w:rsid w:val="002B7E88"/>
    <w:rsid w:val="002D028A"/>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60F"/>
    <w:rsid w:val="00331DB0"/>
    <w:rsid w:val="003337F4"/>
    <w:rsid w:val="00334CE7"/>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1185"/>
    <w:rsid w:val="003A3E3C"/>
    <w:rsid w:val="003A4972"/>
    <w:rsid w:val="003B4A14"/>
    <w:rsid w:val="003B5570"/>
    <w:rsid w:val="003C31AB"/>
    <w:rsid w:val="003C35CD"/>
    <w:rsid w:val="003C43EA"/>
    <w:rsid w:val="003C4F65"/>
    <w:rsid w:val="003C53D2"/>
    <w:rsid w:val="003C7866"/>
    <w:rsid w:val="003D0971"/>
    <w:rsid w:val="003D3C90"/>
    <w:rsid w:val="003D5CBF"/>
    <w:rsid w:val="003E02C3"/>
    <w:rsid w:val="003E18C9"/>
    <w:rsid w:val="003F567D"/>
    <w:rsid w:val="003F5705"/>
    <w:rsid w:val="003F7782"/>
    <w:rsid w:val="00400588"/>
    <w:rsid w:val="00406AC9"/>
    <w:rsid w:val="00407C54"/>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3BB2"/>
    <w:rsid w:val="00454633"/>
    <w:rsid w:val="00454737"/>
    <w:rsid w:val="00455BF8"/>
    <w:rsid w:val="00456DB3"/>
    <w:rsid w:val="00456EAD"/>
    <w:rsid w:val="004604FE"/>
    <w:rsid w:val="004611A8"/>
    <w:rsid w:val="00461737"/>
    <w:rsid w:val="00467117"/>
    <w:rsid w:val="00467D70"/>
    <w:rsid w:val="00467DC5"/>
    <w:rsid w:val="004702DB"/>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500C"/>
    <w:rsid w:val="004C5FFC"/>
    <w:rsid w:val="004C74F7"/>
    <w:rsid w:val="004D1253"/>
    <w:rsid w:val="004D158E"/>
    <w:rsid w:val="004D281F"/>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B53"/>
    <w:rsid w:val="005146EE"/>
    <w:rsid w:val="005160E3"/>
    <w:rsid w:val="005161E3"/>
    <w:rsid w:val="00516B40"/>
    <w:rsid w:val="005203F0"/>
    <w:rsid w:val="00521E09"/>
    <w:rsid w:val="00525EB0"/>
    <w:rsid w:val="00535551"/>
    <w:rsid w:val="0053664B"/>
    <w:rsid w:val="00540718"/>
    <w:rsid w:val="00540B71"/>
    <w:rsid w:val="00541F46"/>
    <w:rsid w:val="0054292B"/>
    <w:rsid w:val="005440BF"/>
    <w:rsid w:val="0054661A"/>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6504"/>
    <w:rsid w:val="00616551"/>
    <w:rsid w:val="00617C3C"/>
    <w:rsid w:val="00623384"/>
    <w:rsid w:val="006236AD"/>
    <w:rsid w:val="0063195F"/>
    <w:rsid w:val="00632944"/>
    <w:rsid w:val="006355A9"/>
    <w:rsid w:val="00637A4F"/>
    <w:rsid w:val="00641CD5"/>
    <w:rsid w:val="00642BB6"/>
    <w:rsid w:val="00644031"/>
    <w:rsid w:val="00644FBC"/>
    <w:rsid w:val="00647134"/>
    <w:rsid w:val="00652DB9"/>
    <w:rsid w:val="0065703E"/>
    <w:rsid w:val="006575E7"/>
    <w:rsid w:val="00657673"/>
    <w:rsid w:val="00661E32"/>
    <w:rsid w:val="00662CCA"/>
    <w:rsid w:val="00662EC6"/>
    <w:rsid w:val="00662F26"/>
    <w:rsid w:val="00665B56"/>
    <w:rsid w:val="006720DF"/>
    <w:rsid w:val="00672743"/>
    <w:rsid w:val="00681E9C"/>
    <w:rsid w:val="00682B2E"/>
    <w:rsid w:val="00683341"/>
    <w:rsid w:val="006853C1"/>
    <w:rsid w:val="0068695A"/>
    <w:rsid w:val="00686C54"/>
    <w:rsid w:val="00687D34"/>
    <w:rsid w:val="00691B56"/>
    <w:rsid w:val="00691CC7"/>
    <w:rsid w:val="00691D8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38FA"/>
    <w:rsid w:val="007444F9"/>
    <w:rsid w:val="00745662"/>
    <w:rsid w:val="00746BB0"/>
    <w:rsid w:val="007500F5"/>
    <w:rsid w:val="007503B4"/>
    <w:rsid w:val="00751B12"/>
    <w:rsid w:val="007525B4"/>
    <w:rsid w:val="0075361E"/>
    <w:rsid w:val="00755B39"/>
    <w:rsid w:val="00756505"/>
    <w:rsid w:val="007602DD"/>
    <w:rsid w:val="00760CD7"/>
    <w:rsid w:val="0076688E"/>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3D31"/>
    <w:rsid w:val="007C4FA1"/>
    <w:rsid w:val="007D2F2B"/>
    <w:rsid w:val="007D48A4"/>
    <w:rsid w:val="007D719A"/>
    <w:rsid w:val="007E11AF"/>
    <w:rsid w:val="007E1A50"/>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41B6"/>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340D"/>
    <w:rsid w:val="00884A1B"/>
    <w:rsid w:val="008923A4"/>
    <w:rsid w:val="008927E0"/>
    <w:rsid w:val="00893556"/>
    <w:rsid w:val="00893B88"/>
    <w:rsid w:val="008953C4"/>
    <w:rsid w:val="008A02F3"/>
    <w:rsid w:val="008A4193"/>
    <w:rsid w:val="008A4440"/>
    <w:rsid w:val="008A58B3"/>
    <w:rsid w:val="008B024E"/>
    <w:rsid w:val="008B14E4"/>
    <w:rsid w:val="008B2C45"/>
    <w:rsid w:val="008B4190"/>
    <w:rsid w:val="008C0361"/>
    <w:rsid w:val="008C2670"/>
    <w:rsid w:val="008C6831"/>
    <w:rsid w:val="008C736D"/>
    <w:rsid w:val="008D30DD"/>
    <w:rsid w:val="008D35B6"/>
    <w:rsid w:val="008D5D5A"/>
    <w:rsid w:val="008D63C9"/>
    <w:rsid w:val="008D77B0"/>
    <w:rsid w:val="008E06A1"/>
    <w:rsid w:val="008E1673"/>
    <w:rsid w:val="008E6D68"/>
    <w:rsid w:val="008F4555"/>
    <w:rsid w:val="00900431"/>
    <w:rsid w:val="00902193"/>
    <w:rsid w:val="0090328C"/>
    <w:rsid w:val="00910123"/>
    <w:rsid w:val="00912961"/>
    <w:rsid w:val="00913386"/>
    <w:rsid w:val="00913F71"/>
    <w:rsid w:val="00914563"/>
    <w:rsid w:val="00916D35"/>
    <w:rsid w:val="00921822"/>
    <w:rsid w:val="00921960"/>
    <w:rsid w:val="0092196F"/>
    <w:rsid w:val="00923F6C"/>
    <w:rsid w:val="00925D28"/>
    <w:rsid w:val="00927B48"/>
    <w:rsid w:val="00931166"/>
    <w:rsid w:val="0093340A"/>
    <w:rsid w:val="00933955"/>
    <w:rsid w:val="00935A11"/>
    <w:rsid w:val="00936518"/>
    <w:rsid w:val="00937032"/>
    <w:rsid w:val="00937C98"/>
    <w:rsid w:val="0094147C"/>
    <w:rsid w:val="0094258F"/>
    <w:rsid w:val="0094661D"/>
    <w:rsid w:val="009469B5"/>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A5F8F"/>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BC8"/>
    <w:rsid w:val="00A4369D"/>
    <w:rsid w:val="00A43B19"/>
    <w:rsid w:val="00A4472E"/>
    <w:rsid w:val="00A46D31"/>
    <w:rsid w:val="00A47EA4"/>
    <w:rsid w:val="00A5036F"/>
    <w:rsid w:val="00A503E5"/>
    <w:rsid w:val="00A509FD"/>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23F"/>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F0E"/>
    <w:rsid w:val="00AC6329"/>
    <w:rsid w:val="00AC6B22"/>
    <w:rsid w:val="00AD13AD"/>
    <w:rsid w:val="00AE08D3"/>
    <w:rsid w:val="00AE225B"/>
    <w:rsid w:val="00AE46A4"/>
    <w:rsid w:val="00AE535D"/>
    <w:rsid w:val="00AE69CE"/>
    <w:rsid w:val="00AF08E9"/>
    <w:rsid w:val="00AF0B26"/>
    <w:rsid w:val="00AF0EBF"/>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5280"/>
    <w:rsid w:val="00B9638C"/>
    <w:rsid w:val="00BA5133"/>
    <w:rsid w:val="00BA5885"/>
    <w:rsid w:val="00BA59F6"/>
    <w:rsid w:val="00BA5EFC"/>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432E"/>
    <w:rsid w:val="00C25332"/>
    <w:rsid w:val="00C25933"/>
    <w:rsid w:val="00C27C2B"/>
    <w:rsid w:val="00C3318C"/>
    <w:rsid w:val="00C34F6D"/>
    <w:rsid w:val="00C3720A"/>
    <w:rsid w:val="00C41DCA"/>
    <w:rsid w:val="00C45720"/>
    <w:rsid w:val="00C51934"/>
    <w:rsid w:val="00C549B2"/>
    <w:rsid w:val="00C55715"/>
    <w:rsid w:val="00C56FA8"/>
    <w:rsid w:val="00C61C00"/>
    <w:rsid w:val="00C62802"/>
    <w:rsid w:val="00C6346F"/>
    <w:rsid w:val="00C679E4"/>
    <w:rsid w:val="00C73DB2"/>
    <w:rsid w:val="00C75067"/>
    <w:rsid w:val="00C802CF"/>
    <w:rsid w:val="00C830BD"/>
    <w:rsid w:val="00C84E19"/>
    <w:rsid w:val="00C85194"/>
    <w:rsid w:val="00C95F53"/>
    <w:rsid w:val="00C97F3E"/>
    <w:rsid w:val="00CA00FB"/>
    <w:rsid w:val="00CA0715"/>
    <w:rsid w:val="00CA11BC"/>
    <w:rsid w:val="00CA1CD2"/>
    <w:rsid w:val="00CA39D0"/>
    <w:rsid w:val="00CA48E6"/>
    <w:rsid w:val="00CA4E7E"/>
    <w:rsid w:val="00CA67C6"/>
    <w:rsid w:val="00CA7ED3"/>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AF8"/>
    <w:rsid w:val="00E47761"/>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EF7E81"/>
    <w:rsid w:val="00F021CF"/>
    <w:rsid w:val="00F05B0F"/>
    <w:rsid w:val="00F1047D"/>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EDB"/>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3C84930"/>
    <w:rsid w:val="03DF7E09"/>
    <w:rsid w:val="048320BB"/>
    <w:rsid w:val="04B563C2"/>
    <w:rsid w:val="05531A54"/>
    <w:rsid w:val="05F92C68"/>
    <w:rsid w:val="065549FE"/>
    <w:rsid w:val="06571B7A"/>
    <w:rsid w:val="06B52C79"/>
    <w:rsid w:val="077111CE"/>
    <w:rsid w:val="0772575A"/>
    <w:rsid w:val="07DA3A8F"/>
    <w:rsid w:val="089D7C92"/>
    <w:rsid w:val="08B800EB"/>
    <w:rsid w:val="08FE32A0"/>
    <w:rsid w:val="09C92DD3"/>
    <w:rsid w:val="09CF66DA"/>
    <w:rsid w:val="09CF6E4B"/>
    <w:rsid w:val="09D94892"/>
    <w:rsid w:val="0B6B045B"/>
    <w:rsid w:val="0BD554C2"/>
    <w:rsid w:val="0CF31E7D"/>
    <w:rsid w:val="0E0E1FAA"/>
    <w:rsid w:val="0E7B4525"/>
    <w:rsid w:val="10767327"/>
    <w:rsid w:val="11304CEB"/>
    <w:rsid w:val="11503887"/>
    <w:rsid w:val="11AF4DCB"/>
    <w:rsid w:val="121C317D"/>
    <w:rsid w:val="12955111"/>
    <w:rsid w:val="12CC6E6D"/>
    <w:rsid w:val="1335423F"/>
    <w:rsid w:val="13806E42"/>
    <w:rsid w:val="139A4C98"/>
    <w:rsid w:val="13A607E7"/>
    <w:rsid w:val="140E7482"/>
    <w:rsid w:val="1440520B"/>
    <w:rsid w:val="14737EE6"/>
    <w:rsid w:val="148B5080"/>
    <w:rsid w:val="14A817D6"/>
    <w:rsid w:val="1543271C"/>
    <w:rsid w:val="159E6085"/>
    <w:rsid w:val="15D2378B"/>
    <w:rsid w:val="16930684"/>
    <w:rsid w:val="172B38F3"/>
    <w:rsid w:val="17BC5001"/>
    <w:rsid w:val="18176041"/>
    <w:rsid w:val="183A0A1F"/>
    <w:rsid w:val="198C1D89"/>
    <w:rsid w:val="1B513D2C"/>
    <w:rsid w:val="1B74013C"/>
    <w:rsid w:val="1CFA34AD"/>
    <w:rsid w:val="1E0D2BED"/>
    <w:rsid w:val="1E591AD6"/>
    <w:rsid w:val="1E7139E2"/>
    <w:rsid w:val="1F14499E"/>
    <w:rsid w:val="1F5B26C7"/>
    <w:rsid w:val="1F641868"/>
    <w:rsid w:val="1FAD1380"/>
    <w:rsid w:val="201131E8"/>
    <w:rsid w:val="203A4DF7"/>
    <w:rsid w:val="21113E1D"/>
    <w:rsid w:val="224109E7"/>
    <w:rsid w:val="22A144DF"/>
    <w:rsid w:val="22D95D8C"/>
    <w:rsid w:val="22EB689E"/>
    <w:rsid w:val="23966B47"/>
    <w:rsid w:val="23B32CE7"/>
    <w:rsid w:val="2472310C"/>
    <w:rsid w:val="249C2E00"/>
    <w:rsid w:val="26140BE8"/>
    <w:rsid w:val="26CE5027"/>
    <w:rsid w:val="27F62AEE"/>
    <w:rsid w:val="2866365B"/>
    <w:rsid w:val="2992607D"/>
    <w:rsid w:val="2A4A0CEE"/>
    <w:rsid w:val="2AD247D5"/>
    <w:rsid w:val="2B9D683D"/>
    <w:rsid w:val="2BDD6474"/>
    <w:rsid w:val="2CF23FA9"/>
    <w:rsid w:val="2DDE2C59"/>
    <w:rsid w:val="2DF94D88"/>
    <w:rsid w:val="2E50057C"/>
    <w:rsid w:val="2F204A26"/>
    <w:rsid w:val="2F3045A4"/>
    <w:rsid w:val="2F567AA0"/>
    <w:rsid w:val="30043F67"/>
    <w:rsid w:val="307052CE"/>
    <w:rsid w:val="30913CD1"/>
    <w:rsid w:val="309F5392"/>
    <w:rsid w:val="30EE511D"/>
    <w:rsid w:val="3161171F"/>
    <w:rsid w:val="319A28B2"/>
    <w:rsid w:val="3276083D"/>
    <w:rsid w:val="33905BDA"/>
    <w:rsid w:val="33967526"/>
    <w:rsid w:val="339B19D0"/>
    <w:rsid w:val="33B345DF"/>
    <w:rsid w:val="34AD08CD"/>
    <w:rsid w:val="34F1691A"/>
    <w:rsid w:val="3508551A"/>
    <w:rsid w:val="359C0F7A"/>
    <w:rsid w:val="36DD3FCF"/>
    <w:rsid w:val="37776170"/>
    <w:rsid w:val="378B37C3"/>
    <w:rsid w:val="37BE57F0"/>
    <w:rsid w:val="383B0BDA"/>
    <w:rsid w:val="38762BE4"/>
    <w:rsid w:val="38F2725A"/>
    <w:rsid w:val="3941563D"/>
    <w:rsid w:val="39697FC6"/>
    <w:rsid w:val="39A86C52"/>
    <w:rsid w:val="39C037CE"/>
    <w:rsid w:val="39DD3366"/>
    <w:rsid w:val="3A057B4F"/>
    <w:rsid w:val="3A86167D"/>
    <w:rsid w:val="3AE332B3"/>
    <w:rsid w:val="3C6D72F3"/>
    <w:rsid w:val="3C8C247C"/>
    <w:rsid w:val="3D276D09"/>
    <w:rsid w:val="3D65545B"/>
    <w:rsid w:val="3E7C6D69"/>
    <w:rsid w:val="3ED43C3B"/>
    <w:rsid w:val="3FA119B7"/>
    <w:rsid w:val="40177DE3"/>
    <w:rsid w:val="401E6FD9"/>
    <w:rsid w:val="40976810"/>
    <w:rsid w:val="417A1877"/>
    <w:rsid w:val="41A07D1D"/>
    <w:rsid w:val="422711D3"/>
    <w:rsid w:val="432253DD"/>
    <w:rsid w:val="43501007"/>
    <w:rsid w:val="436D3CA6"/>
    <w:rsid w:val="43722BD0"/>
    <w:rsid w:val="43863DDA"/>
    <w:rsid w:val="444939F2"/>
    <w:rsid w:val="44660A91"/>
    <w:rsid w:val="450406A1"/>
    <w:rsid w:val="454736D8"/>
    <w:rsid w:val="45551365"/>
    <w:rsid w:val="476F66C2"/>
    <w:rsid w:val="4817484F"/>
    <w:rsid w:val="482809DA"/>
    <w:rsid w:val="482C6361"/>
    <w:rsid w:val="4A0B7731"/>
    <w:rsid w:val="4A3A7537"/>
    <w:rsid w:val="4A9A751F"/>
    <w:rsid w:val="4AB8212E"/>
    <w:rsid w:val="4AE10089"/>
    <w:rsid w:val="4B177614"/>
    <w:rsid w:val="4B3A3DE4"/>
    <w:rsid w:val="4B77032C"/>
    <w:rsid w:val="4B852596"/>
    <w:rsid w:val="4BC23AA8"/>
    <w:rsid w:val="4BCA4DC2"/>
    <w:rsid w:val="4C9577C1"/>
    <w:rsid w:val="4CC43F74"/>
    <w:rsid w:val="4D1E7CED"/>
    <w:rsid w:val="4D3806BD"/>
    <w:rsid w:val="4E7F1FE6"/>
    <w:rsid w:val="4FA56487"/>
    <w:rsid w:val="4FC44EDC"/>
    <w:rsid w:val="50997532"/>
    <w:rsid w:val="5116496C"/>
    <w:rsid w:val="51296E07"/>
    <w:rsid w:val="52A43CE2"/>
    <w:rsid w:val="52C12FB4"/>
    <w:rsid w:val="53097B05"/>
    <w:rsid w:val="535B5D4C"/>
    <w:rsid w:val="53866EE0"/>
    <w:rsid w:val="538F587F"/>
    <w:rsid w:val="544E2FF3"/>
    <w:rsid w:val="551E7F0E"/>
    <w:rsid w:val="55B95F2B"/>
    <w:rsid w:val="55D63612"/>
    <w:rsid w:val="55D9538F"/>
    <w:rsid w:val="561E71DB"/>
    <w:rsid w:val="56B137E7"/>
    <w:rsid w:val="57B23DE3"/>
    <w:rsid w:val="57CA68AA"/>
    <w:rsid w:val="58277A11"/>
    <w:rsid w:val="59654F1B"/>
    <w:rsid w:val="5A650D5A"/>
    <w:rsid w:val="5A8E6B50"/>
    <w:rsid w:val="5AAC1128"/>
    <w:rsid w:val="5B526E3B"/>
    <w:rsid w:val="5D176670"/>
    <w:rsid w:val="5E943ED2"/>
    <w:rsid w:val="5EE14332"/>
    <w:rsid w:val="5EFB5FCF"/>
    <w:rsid w:val="5FB64771"/>
    <w:rsid w:val="5FCE31DB"/>
    <w:rsid w:val="60976762"/>
    <w:rsid w:val="60FD4F55"/>
    <w:rsid w:val="615674ED"/>
    <w:rsid w:val="61744EA1"/>
    <w:rsid w:val="62543DE5"/>
    <w:rsid w:val="637048DB"/>
    <w:rsid w:val="64AA146F"/>
    <w:rsid w:val="64CE3115"/>
    <w:rsid w:val="65335497"/>
    <w:rsid w:val="656B63AC"/>
    <w:rsid w:val="65D76172"/>
    <w:rsid w:val="66C77325"/>
    <w:rsid w:val="67C15D52"/>
    <w:rsid w:val="68152B47"/>
    <w:rsid w:val="688157B0"/>
    <w:rsid w:val="68931D4F"/>
    <w:rsid w:val="68C6406F"/>
    <w:rsid w:val="6A1638AD"/>
    <w:rsid w:val="6A7D3B6A"/>
    <w:rsid w:val="6B0007FD"/>
    <w:rsid w:val="6B4551DF"/>
    <w:rsid w:val="6B9E2823"/>
    <w:rsid w:val="6C7B77BD"/>
    <w:rsid w:val="6C992C34"/>
    <w:rsid w:val="6CA95923"/>
    <w:rsid w:val="6D756958"/>
    <w:rsid w:val="6FF25768"/>
    <w:rsid w:val="711C1F1C"/>
    <w:rsid w:val="718B3849"/>
    <w:rsid w:val="71EA6D6F"/>
    <w:rsid w:val="71F3616F"/>
    <w:rsid w:val="72E05A4A"/>
    <w:rsid w:val="72FF5BE3"/>
    <w:rsid w:val="73656E86"/>
    <w:rsid w:val="7377015A"/>
    <w:rsid w:val="739D2BFF"/>
    <w:rsid w:val="74736DCE"/>
    <w:rsid w:val="75A01A91"/>
    <w:rsid w:val="75A62E64"/>
    <w:rsid w:val="75BB53FD"/>
    <w:rsid w:val="75CE03F3"/>
    <w:rsid w:val="75E96582"/>
    <w:rsid w:val="761146D7"/>
    <w:rsid w:val="76470CAA"/>
    <w:rsid w:val="764D1082"/>
    <w:rsid w:val="766F2799"/>
    <w:rsid w:val="76A37F40"/>
    <w:rsid w:val="773B6256"/>
    <w:rsid w:val="7786105E"/>
    <w:rsid w:val="77CF1A71"/>
    <w:rsid w:val="7A441A53"/>
    <w:rsid w:val="7AB60BED"/>
    <w:rsid w:val="7B6D5469"/>
    <w:rsid w:val="7BF3685D"/>
    <w:rsid w:val="7C536DD8"/>
    <w:rsid w:val="7D07233B"/>
    <w:rsid w:val="7D1C3E32"/>
    <w:rsid w:val="7D40391F"/>
    <w:rsid w:val="7D722870"/>
    <w:rsid w:val="7DAE373E"/>
    <w:rsid w:val="7DF06991"/>
    <w:rsid w:val="7DF96BCA"/>
    <w:rsid w:val="7E1251F4"/>
    <w:rsid w:val="7E615056"/>
    <w:rsid w:val="7E6416AA"/>
    <w:rsid w:val="7EE66F59"/>
    <w:rsid w:val="7F1A6E76"/>
    <w:rsid w:val="7F1F783D"/>
    <w:rsid w:val="7F4D416A"/>
    <w:rsid w:val="7FAE4442"/>
    <w:rsid w:val="7FAF396D"/>
    <w:rsid w:val="7FE43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B9497C-6D54-46AC-A07E-75E01B21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unhideWhenUsed="1" w:qFormat="1"/>
    <w:lsdException w:name="heading 4" w:uiPriority="1" w:unhideWhenUsed="1" w:qFormat="1"/>
    <w:lsdException w:name="heading 5"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eastAsia="Courier New"/>
      <w:kern w:val="2"/>
      <w:sz w:val="21"/>
      <w:szCs w:val="21"/>
    </w:rPr>
  </w:style>
  <w:style w:type="paragraph" w:styleId="1">
    <w:name w:val="heading 1"/>
    <w:basedOn w:val="a"/>
    <w:next w:val="a"/>
    <w:uiPriority w:val="1"/>
    <w:qFormat/>
    <w:pPr>
      <w:keepNext/>
      <w:keepLines/>
      <w:spacing w:before="340" w:after="330" w:line="576" w:lineRule="auto"/>
      <w:outlineLvl w:val="0"/>
    </w:pPr>
    <w:rPr>
      <w:b/>
      <w:kern w:val="44"/>
      <w:sz w:val="44"/>
    </w:rPr>
  </w:style>
  <w:style w:type="paragraph" w:styleId="20">
    <w:name w:val="heading 2"/>
    <w:basedOn w:val="a"/>
    <w:next w:val="a"/>
    <w:link w:val="2Char"/>
    <w:uiPriority w:val="1"/>
    <w:qFormat/>
    <w:pPr>
      <w:keepNext/>
      <w:keepLines/>
      <w:adjustRightInd w:val="0"/>
      <w:snapToGrid w:val="0"/>
      <w:spacing w:before="260" w:after="260" w:line="416" w:lineRule="auto"/>
      <w:ind w:firstLineChars="200" w:firstLine="600"/>
      <w:outlineLvl w:val="1"/>
    </w:pPr>
    <w:rPr>
      <w:rFonts w:ascii="Arial" w:eastAsia="Symbol" w:hAnsi="Arial"/>
      <w:b/>
      <w:bCs/>
      <w:sz w:val="32"/>
      <w:szCs w:val="32"/>
    </w:rPr>
  </w:style>
  <w:style w:type="paragraph" w:styleId="3">
    <w:name w:val="heading 3"/>
    <w:basedOn w:val="a"/>
    <w:next w:val="a"/>
    <w:uiPriority w:val="1"/>
    <w:unhideWhenUsed/>
    <w:qFormat/>
    <w:pPr>
      <w:keepNext/>
      <w:keepLines/>
      <w:spacing w:before="260" w:after="260" w:line="413" w:lineRule="auto"/>
      <w:outlineLvl w:val="2"/>
    </w:pPr>
    <w:rPr>
      <w:b/>
      <w:sz w:val="32"/>
    </w:rPr>
  </w:style>
  <w:style w:type="paragraph" w:styleId="4">
    <w:name w:val="heading 4"/>
    <w:basedOn w:val="a"/>
    <w:next w:val="a"/>
    <w:link w:val="4Char"/>
    <w:uiPriority w:val="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1"/>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next w:val="2"/>
    <w:qFormat/>
    <w:pPr>
      <w:spacing w:after="120"/>
      <w:ind w:leftChars="200" w:left="420"/>
      <w:jc w:val="left"/>
    </w:pPr>
    <w:rPr>
      <w:rFonts w:ascii="宋体" w:eastAsia="宋体" w:hAnsi="宋体" w:hint="eastAsia"/>
      <w:kern w:val="0"/>
      <w:sz w:val="24"/>
      <w:szCs w:val="24"/>
    </w:r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a6">
    <w:name w:val="Normal Indent"/>
    <w:basedOn w:val="a"/>
    <w:next w:val="a7"/>
    <w:qFormat/>
    <w:pPr>
      <w:spacing w:line="360" w:lineRule="auto"/>
      <w:ind w:firstLineChars="200" w:firstLine="420"/>
      <w:jc w:val="left"/>
    </w:pPr>
    <w:rPr>
      <w:rFonts w:ascii="仿宋_GB2312" w:eastAsia="仿宋_GB2312" w:hAnsi="Arial"/>
      <w:kern w:val="0"/>
      <w:sz w:val="30"/>
      <w:szCs w:val="30"/>
    </w:rPr>
  </w:style>
  <w:style w:type="paragraph" w:styleId="a7">
    <w:name w:val="Body Text"/>
    <w:basedOn w:val="a"/>
    <w:link w:val="Char1"/>
    <w:uiPriority w:val="1"/>
    <w:unhideWhenUsed/>
    <w:qFormat/>
    <w:pPr>
      <w:spacing w:after="120"/>
    </w:pPr>
  </w:style>
  <w:style w:type="paragraph" w:styleId="a8">
    <w:name w:val="Balloon Text"/>
    <w:basedOn w:val="a"/>
    <w:link w:val="Char2"/>
    <w:uiPriority w:val="99"/>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tabs>
        <w:tab w:val="right" w:leader="dot" w:pos="8714"/>
      </w:tabs>
      <w:spacing w:before="60" w:line="360" w:lineRule="auto"/>
      <w:ind w:leftChars="200" w:left="200"/>
      <w:jc w:val="left"/>
    </w:pPr>
    <w:rPr>
      <w:rFonts w:eastAsia="Helvetica" w:cs="Courier"/>
      <w:bCs/>
      <w:caps/>
      <w:sz w:val="30"/>
      <w:szCs w:val="20"/>
    </w:rPr>
  </w:style>
  <w:style w:type="paragraph" w:styleId="ab">
    <w:name w:val="Subtitle"/>
    <w:basedOn w:val="a"/>
    <w:next w:val="a"/>
    <w:link w:val="Char5"/>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1">
    <w:name w:val="toc 2"/>
    <w:basedOn w:val="a"/>
    <w:next w:val="a"/>
    <w:uiPriority w:val="39"/>
    <w:unhideWhenUsed/>
    <w:qFormat/>
    <w:pPr>
      <w:tabs>
        <w:tab w:val="right" w:leader="dot" w:pos="8714"/>
      </w:tabs>
      <w:spacing w:line="360" w:lineRule="auto"/>
      <w:ind w:leftChars="350" w:left="350"/>
      <w:jc w:val="left"/>
    </w:pPr>
    <w:rPr>
      <w:rFonts w:eastAsia="Tms Rmn" w:cs="Courier"/>
      <w:smallCaps/>
      <w:sz w:val="30"/>
      <w:szCs w:val="20"/>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21"/>
      <w:szCs w:val="21"/>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qFormat/>
    <w:pPr>
      <w:spacing w:after="120"/>
      <w:ind w:leftChars="200" w:left="420"/>
    </w:pPr>
    <w:rPr>
      <w:rFonts w:cs="黑体"/>
    </w:rPr>
  </w:style>
  <w:style w:type="character" w:customStyle="1" w:styleId="Char4">
    <w:name w:val="页眉 Char"/>
    <w:basedOn w:val="a0"/>
    <w:link w:val="aa"/>
    <w:uiPriority w:val="99"/>
    <w:qFormat/>
    <w:rPr>
      <w:sz w:val="18"/>
      <w:szCs w:val="18"/>
    </w:rPr>
  </w:style>
  <w:style w:type="character" w:customStyle="1" w:styleId="Char3">
    <w:name w:val="页脚 Char"/>
    <w:basedOn w:val="a0"/>
    <w:link w:val="a9"/>
    <w:uiPriority w:val="99"/>
    <w:qFormat/>
    <w:rPr>
      <w:sz w:val="18"/>
      <w:szCs w:val="18"/>
    </w:rPr>
  </w:style>
  <w:style w:type="character" w:customStyle="1" w:styleId="Char0">
    <w:name w:val="批注文字 Char"/>
    <w:basedOn w:val="a0"/>
    <w:link w:val="a5"/>
    <w:uiPriority w:val="99"/>
    <w:qFormat/>
    <w:rPr>
      <w:rFonts w:ascii="Times New Roman" w:eastAsia="Courier New" w:hAnsi="Times New Roman" w:cs="Times New Roman"/>
      <w:szCs w:val="21"/>
    </w:rPr>
  </w:style>
  <w:style w:type="character" w:customStyle="1" w:styleId="Char">
    <w:name w:val="批注主题 Char"/>
    <w:basedOn w:val="Char0"/>
    <w:link w:val="a4"/>
    <w:uiPriority w:val="99"/>
    <w:semiHidden/>
    <w:qFormat/>
    <w:rPr>
      <w:rFonts w:ascii="Times New Roman" w:eastAsia="Courier New" w:hAnsi="Times New Roman" w:cs="Times New Roman"/>
      <w:b/>
      <w:bCs/>
      <w:szCs w:val="21"/>
    </w:rPr>
  </w:style>
  <w:style w:type="paragraph" w:customStyle="1" w:styleId="af">
    <w:name w:val="独立格式"/>
    <w:basedOn w:val="ab"/>
    <w:uiPriority w:val="1"/>
    <w:qFormat/>
    <w:pPr>
      <w:spacing w:before="0" w:after="0" w:line="360" w:lineRule="auto"/>
      <w:outlineLvl w:val="9"/>
    </w:pPr>
    <w:rPr>
      <w:rFonts w:ascii="Times New Roman" w:eastAsia="Tms Rmn" w:hAnsi="Times New Roman" w:cs="Times New Roman"/>
      <w:b w:val="0"/>
      <w:bCs w:val="0"/>
      <w:kern w:val="2"/>
      <w:szCs w:val="52"/>
    </w:rPr>
  </w:style>
  <w:style w:type="character" w:customStyle="1" w:styleId="Char5">
    <w:name w:val="副标题 Char"/>
    <w:basedOn w:val="a0"/>
    <w:link w:val="ab"/>
    <w:uiPriority w:val="11"/>
    <w:qFormat/>
    <w:rPr>
      <w:b/>
      <w:bCs/>
      <w:kern w:val="28"/>
      <w:sz w:val="32"/>
      <w:szCs w:val="32"/>
    </w:rPr>
  </w:style>
  <w:style w:type="character" w:customStyle="1" w:styleId="2Char">
    <w:name w:val="标题 2 Char"/>
    <w:basedOn w:val="a0"/>
    <w:link w:val="20"/>
    <w:uiPriority w:val="9"/>
    <w:qFormat/>
    <w:rPr>
      <w:rFonts w:ascii="Arial" w:eastAsia="Symbol" w:hAnsi="Arial" w:cs="Times New Roman"/>
      <w:b/>
      <w:bCs/>
      <w:sz w:val="32"/>
      <w:szCs w:val="32"/>
    </w:rPr>
  </w:style>
  <w:style w:type="paragraph" w:customStyle="1" w:styleId="af0">
    <w:name w:val="表格名称"/>
    <w:basedOn w:val="a"/>
    <w:qFormat/>
    <w:pPr>
      <w:spacing w:line="360" w:lineRule="auto"/>
      <w:jc w:val="center"/>
    </w:pPr>
    <w:rPr>
      <w:rFonts w:eastAsia="Helv" w:cs="New York"/>
      <w:b/>
      <w:sz w:val="24"/>
      <w:szCs w:val="24"/>
    </w:rPr>
  </w:style>
  <w:style w:type="paragraph" w:customStyle="1" w:styleId="af1">
    <w:name w:val="表格文字"/>
    <w:basedOn w:val="af"/>
    <w:next w:val="a"/>
    <w:qFormat/>
    <w:pPr>
      <w:spacing w:line="360" w:lineRule="exact"/>
    </w:pPr>
    <w:rPr>
      <w:rFonts w:eastAsia="Helv" w:cs="New York"/>
      <w:sz w:val="24"/>
    </w:rPr>
  </w:style>
  <w:style w:type="character" w:customStyle="1" w:styleId="5Char">
    <w:name w:val="标题 5 Char"/>
    <w:basedOn w:val="a0"/>
    <w:link w:val="5"/>
    <w:uiPriority w:val="9"/>
    <w:semiHidden/>
    <w:qFormat/>
    <w:rPr>
      <w:rFonts w:ascii="Times New Roman" w:eastAsia="Courier New" w:hAnsi="Times New Roman" w:cs="Times New Roman"/>
      <w:b/>
      <w:bCs/>
      <w:sz w:val="28"/>
      <w:szCs w:val="28"/>
    </w:rPr>
  </w:style>
  <w:style w:type="character" w:customStyle="1" w:styleId="Char1">
    <w:name w:val="正文文本 Char"/>
    <w:basedOn w:val="a0"/>
    <w:link w:val="a7"/>
    <w:uiPriority w:val="99"/>
    <w:semiHidden/>
    <w:qFormat/>
    <w:rPr>
      <w:rFonts w:ascii="Times New Roman" w:eastAsia="Courier New" w:hAnsi="Times New Roman" w:cs="Times New Roman"/>
      <w:szCs w:val="21"/>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2">
    <w:name w:val="批注框文本 Char"/>
    <w:basedOn w:val="a0"/>
    <w:link w:val="a8"/>
    <w:uiPriority w:val="99"/>
    <w:semiHidden/>
    <w:qFormat/>
    <w:rPr>
      <w:rFonts w:ascii="Times New Roman" w:eastAsia="Courier New" w:hAnsi="Times New Roman" w:cs="Times New Roman"/>
      <w:kern w:val="2"/>
      <w:sz w:val="18"/>
      <w:szCs w:val="18"/>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列出段落1"/>
    <w:basedOn w:val="a"/>
    <w:uiPriority w:val="1"/>
    <w:qFormat/>
    <w:pPr>
      <w:autoSpaceDE w:val="0"/>
      <w:autoSpaceDN w:val="0"/>
      <w:ind w:left="109" w:right="99" w:firstLine="641"/>
      <w:jc w:val="left"/>
    </w:pPr>
    <w:rPr>
      <w:rFonts w:ascii="Arial Unicode MS" w:eastAsia="Arial Unicode MS" w:hAnsi="Arial Unicode MS" w:cs="Arial Unicode MS"/>
      <w:kern w:val="0"/>
      <w:sz w:val="22"/>
      <w:szCs w:val="22"/>
      <w:lang w:eastAsia="en-US"/>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zh-CN" altLang="en-US"/>
              <a:t>收入结构图</a:t>
            </a:r>
          </a:p>
        </c:rich>
      </c:tx>
      <c:layout>
        <c:manualLayout>
          <c:xMode val="edge"/>
          <c:yMode val="edge"/>
          <c:x val="0.439840541193525"/>
          <c:y val="2.54993625159371E-2"/>
        </c:manualLayout>
      </c:layout>
      <c:overlay val="0"/>
      <c:spPr>
        <a:noFill/>
        <a:ln>
          <a:noFill/>
        </a:ln>
        <a:effectLst/>
      </c:spPr>
      <c:txPr>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收入金额</c:v>
                </c:pt>
              </c:strCache>
            </c:strRef>
          </c:tx>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一般公共预算</c:v>
                </c:pt>
                <c:pt idx="1">
                  <c:v>上年结转结余</c:v>
                </c:pt>
              </c:strCache>
            </c:strRef>
          </c:cat>
          <c:val>
            <c:numRef>
              <c:f>Sheet1!$B$2:$B$3</c:f>
              <c:numCache>
                <c:formatCode>General</c:formatCode>
                <c:ptCount val="2"/>
                <c:pt idx="0">
                  <c:v>2114.11</c:v>
                </c:pt>
                <c:pt idx="1">
                  <c:v>117.3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67153901908673597"/>
          <c:y val="0.74819379515512097"/>
          <c:w val="0.324836917129741"/>
          <c:h val="0.24543136421589501"/>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45</Pages>
  <Words>3112</Words>
  <Characters>17740</Characters>
  <Application>Microsoft Office Word</Application>
  <DocSecurity>0</DocSecurity>
  <Lines>147</Lines>
  <Paragraphs>41</Paragraphs>
  <ScaleCrop>false</ScaleCrop>
  <Company/>
  <LinksUpToDate>false</LinksUpToDate>
  <CharactersWithSpaces>20811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Meng</dc:creator>
  <cp:lastModifiedBy>Administrator</cp:lastModifiedBy>
  <cp:revision>6</cp:revision>
  <cp:lastPrinted>2022-09-03T08:20:00Z</cp:lastPrinted>
  <dcterms:created xsi:type="dcterms:W3CDTF">2022-09-07T01:41:00Z</dcterms:created>
  <dcterms:modified xsi:type="dcterms:W3CDTF">2024-06-28T01:46:00Z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F4D0967208394CB4AE76D901F171C719</vt:lpwstr>
  </property>
  <property fmtid="{D5CDD505-2E9C-101B-9397-08002B2CF9AE}" pid="4" name="commondata">
    <vt:lpwstr>eyJoZGlkIjoiMDUyZTZiOWNhNTRkM2JiNDQwZWRmZDZjZTIwNDhiY2IifQ==</vt:lpwstr>
  </property>
</Properties>
</file>