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D0693">
      <w:pPr>
        <w:spacing w:line="360" w:lineRule="auto"/>
        <w:jc w:val="center"/>
        <w:rPr>
          <w:rFonts w:ascii="宋体" w:hAnsi="宋体"/>
          <w:sz w:val="24"/>
        </w:rPr>
      </w:pPr>
    </w:p>
    <w:p w14:paraId="1F7917D4">
      <w:pPr>
        <w:spacing w:line="360" w:lineRule="auto"/>
        <w:jc w:val="center"/>
        <w:rPr>
          <w:rFonts w:ascii="宋体" w:hAnsi="宋体"/>
          <w:sz w:val="24"/>
        </w:rPr>
      </w:pPr>
    </w:p>
    <w:p w14:paraId="5A496F1D">
      <w:pPr>
        <w:spacing w:line="360" w:lineRule="auto"/>
        <w:jc w:val="center"/>
        <w:rPr>
          <w:rFonts w:ascii="宋体" w:hAnsi="宋体"/>
          <w:sz w:val="24"/>
        </w:rPr>
      </w:pPr>
    </w:p>
    <w:p w14:paraId="17843FC2">
      <w:pPr>
        <w:spacing w:line="360" w:lineRule="auto"/>
        <w:jc w:val="center"/>
        <w:rPr>
          <w:rFonts w:ascii="宋体" w:hAnsi="宋体"/>
          <w:sz w:val="24"/>
        </w:rPr>
      </w:pPr>
    </w:p>
    <w:p w14:paraId="1C9B68C2">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年度锡林郭勒盟农牧局（本级）</w:t>
      </w:r>
    </w:p>
    <w:p w14:paraId="79C92B17">
      <w:pPr>
        <w:spacing w:line="360" w:lineRule="auto"/>
        <w:jc w:val="center"/>
        <w:rPr>
          <w:rFonts w:ascii="宋体" w:hAnsi="宋体"/>
          <w:b/>
          <w:bCs/>
          <w:sz w:val="52"/>
          <w:szCs w:val="52"/>
        </w:rPr>
      </w:pPr>
      <w:r>
        <w:rPr>
          <w:rFonts w:hint="eastAsia" w:ascii="宋体" w:hAnsi="宋体"/>
          <w:b/>
          <w:bCs/>
          <w:sz w:val="52"/>
          <w:szCs w:val="52"/>
        </w:rPr>
        <w:t>公开文档</w:t>
      </w:r>
    </w:p>
    <w:p w14:paraId="58A1FA5A">
      <w:pPr>
        <w:spacing w:line="360" w:lineRule="auto"/>
        <w:jc w:val="center"/>
        <w:rPr>
          <w:rFonts w:ascii="宋体" w:hAnsi="宋体"/>
          <w:b/>
          <w:bCs/>
          <w:sz w:val="52"/>
          <w:szCs w:val="52"/>
        </w:rPr>
      </w:pPr>
    </w:p>
    <w:p w14:paraId="3526B425">
      <w:pPr>
        <w:spacing w:line="360" w:lineRule="auto"/>
        <w:jc w:val="center"/>
        <w:rPr>
          <w:rFonts w:ascii="宋体" w:hAnsi="宋体"/>
          <w:b/>
          <w:bCs/>
          <w:sz w:val="52"/>
          <w:szCs w:val="52"/>
        </w:rPr>
      </w:pPr>
    </w:p>
    <w:p w14:paraId="277F1E8F">
      <w:pPr>
        <w:spacing w:line="360" w:lineRule="auto"/>
        <w:jc w:val="center"/>
        <w:rPr>
          <w:rFonts w:ascii="宋体" w:hAnsi="宋体"/>
          <w:b/>
          <w:bCs/>
          <w:sz w:val="52"/>
          <w:szCs w:val="52"/>
        </w:rPr>
      </w:pPr>
    </w:p>
    <w:p w14:paraId="09867148">
      <w:pPr>
        <w:spacing w:line="360" w:lineRule="auto"/>
        <w:jc w:val="center"/>
        <w:rPr>
          <w:rFonts w:ascii="宋体" w:hAnsi="宋体"/>
          <w:b/>
          <w:bCs/>
          <w:sz w:val="52"/>
          <w:szCs w:val="52"/>
        </w:rPr>
      </w:pPr>
    </w:p>
    <w:p w14:paraId="1283674D">
      <w:pPr>
        <w:spacing w:line="360" w:lineRule="auto"/>
        <w:jc w:val="center"/>
        <w:rPr>
          <w:rFonts w:ascii="宋体" w:hAnsi="宋体"/>
          <w:b/>
          <w:bCs/>
          <w:sz w:val="52"/>
          <w:szCs w:val="52"/>
        </w:rPr>
      </w:pPr>
    </w:p>
    <w:p w14:paraId="15A194AD">
      <w:pPr>
        <w:spacing w:line="360" w:lineRule="auto"/>
        <w:ind w:firstLine="2240" w:firstLineChars="700"/>
        <w:jc w:val="left"/>
        <w:rPr>
          <w:rFonts w:ascii="宋体" w:hAnsi="宋体"/>
          <w:sz w:val="32"/>
          <w:szCs w:val="32"/>
        </w:rPr>
      </w:pPr>
      <w:r>
        <w:rPr>
          <w:rFonts w:hint="eastAsia" w:ascii="宋体" w:hAnsi="宋体"/>
          <w:sz w:val="32"/>
          <w:szCs w:val="32"/>
        </w:rPr>
        <w:t>部门（单位）名称：锡林郭勒盟农牧局（本级）</w:t>
      </w:r>
    </w:p>
    <w:p w14:paraId="25FB6BA9">
      <w:pPr>
        <w:spacing w:line="360" w:lineRule="auto"/>
        <w:ind w:firstLine="2240" w:firstLineChars="700"/>
        <w:jc w:val="left"/>
        <w:rPr>
          <w:rFonts w:ascii="宋体" w:hAnsi="宋体"/>
          <w:sz w:val="32"/>
          <w:szCs w:val="32"/>
        </w:rPr>
      </w:pPr>
      <w:r>
        <w:rPr>
          <w:rFonts w:hint="eastAsia" w:ascii="宋体" w:hAnsi="宋体"/>
          <w:sz w:val="32"/>
          <w:szCs w:val="32"/>
        </w:rPr>
        <w:t>单位负责人：张艳臣</w:t>
      </w:r>
    </w:p>
    <w:p w14:paraId="6B97F5E4">
      <w:pPr>
        <w:spacing w:line="360" w:lineRule="auto"/>
        <w:ind w:firstLine="2240" w:firstLineChars="700"/>
        <w:jc w:val="left"/>
        <w:rPr>
          <w:rFonts w:hint="eastAsia" w:ascii="宋体" w:hAnsi="宋体" w:eastAsia="宋体"/>
          <w:sz w:val="32"/>
          <w:szCs w:val="32"/>
          <w:lang w:eastAsia="zh-CN"/>
        </w:rPr>
      </w:pPr>
      <w:r>
        <w:rPr>
          <w:rFonts w:hint="eastAsia" w:ascii="宋体" w:hAnsi="宋体"/>
          <w:sz w:val="32"/>
          <w:szCs w:val="32"/>
        </w:rPr>
        <w:t>财务负责人：</w:t>
      </w:r>
      <w:r>
        <w:rPr>
          <w:rFonts w:hint="eastAsia" w:ascii="宋体" w:hAnsi="宋体"/>
          <w:sz w:val="32"/>
          <w:szCs w:val="32"/>
          <w:lang w:eastAsia="zh-CN"/>
        </w:rPr>
        <w:t>锡林高娃</w:t>
      </w:r>
    </w:p>
    <w:p w14:paraId="40660DF0">
      <w:pPr>
        <w:spacing w:line="360" w:lineRule="auto"/>
        <w:ind w:firstLine="2240" w:firstLineChars="700"/>
        <w:jc w:val="left"/>
        <w:rPr>
          <w:rFonts w:ascii="宋体" w:hAnsi="宋体"/>
          <w:sz w:val="32"/>
          <w:szCs w:val="32"/>
        </w:rPr>
      </w:pPr>
      <w:r>
        <w:rPr>
          <w:rFonts w:hint="eastAsia" w:ascii="宋体" w:hAnsi="宋体"/>
          <w:sz w:val="32"/>
          <w:szCs w:val="32"/>
        </w:rPr>
        <w:t>编制人：巴乙苏拉</w:t>
      </w:r>
    </w:p>
    <w:p w14:paraId="45A667B0">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年1</w:t>
      </w:r>
      <w:r>
        <w:rPr>
          <w:rFonts w:hint="eastAsia" w:ascii="宋体" w:hAnsi="宋体"/>
          <w:sz w:val="32"/>
          <w:szCs w:val="32"/>
          <w:lang w:val="en-US" w:eastAsia="zh-CN"/>
        </w:rPr>
        <w:t>1</w:t>
      </w:r>
      <w:r>
        <w:rPr>
          <w:rFonts w:hint="eastAsia" w:ascii="宋体" w:hAnsi="宋体"/>
          <w:sz w:val="32"/>
          <w:szCs w:val="32"/>
        </w:rPr>
        <w:t>月</w:t>
      </w:r>
    </w:p>
    <w:p w14:paraId="63696665">
      <w:pPr>
        <w:spacing w:line="360" w:lineRule="auto"/>
        <w:ind w:firstLine="2240" w:firstLineChars="700"/>
        <w:jc w:val="left"/>
        <w:rPr>
          <w:rFonts w:hint="eastAsia" w:ascii="宋体" w:hAnsi="宋体"/>
          <w:sz w:val="32"/>
          <w:szCs w:val="32"/>
        </w:rPr>
      </w:pPr>
      <w:r>
        <w:rPr>
          <w:rFonts w:hint="eastAsia" w:ascii="宋体" w:hAnsi="宋体"/>
          <w:sz w:val="32"/>
          <w:szCs w:val="32"/>
        </w:rPr>
        <w:t>批复时间：2024年10月29日</w:t>
      </w:r>
    </w:p>
    <w:p w14:paraId="4833AA0E">
      <w:pPr>
        <w:spacing w:line="360" w:lineRule="auto"/>
        <w:ind w:firstLine="2240" w:firstLineChars="700"/>
        <w:jc w:val="left"/>
        <w:rPr>
          <w:rFonts w:hint="eastAsia" w:ascii="宋体" w:hAnsi="宋体"/>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公开日期：2024年11月7日</w:t>
      </w:r>
    </w:p>
    <w:p w14:paraId="3FBBCE6C">
      <w:pPr>
        <w:adjustRightInd w:val="0"/>
        <w:snapToGrid w:val="0"/>
        <w:rPr>
          <w:rFonts w:ascii="宋体" w:hAnsi="宋体"/>
          <w:b/>
          <w:sz w:val="32"/>
          <w:szCs w:val="32"/>
        </w:rPr>
      </w:pPr>
    </w:p>
    <w:p w14:paraId="6957521B">
      <w:pPr>
        <w:adjustRightInd w:val="0"/>
        <w:snapToGrid w:val="0"/>
        <w:jc w:val="center"/>
      </w:pPr>
    </w:p>
    <w:p w14:paraId="15E9A2F1">
      <w:pPr>
        <w:adjustRightInd w:val="0"/>
        <w:snapToGrid w:val="0"/>
        <w:rPr>
          <w:rFonts w:ascii="宋体" w:hAnsi="宋体"/>
          <w:b/>
          <w:sz w:val="32"/>
          <w:szCs w:val="32"/>
        </w:rPr>
      </w:pPr>
    </w:p>
    <w:p w14:paraId="2BAA546D">
      <w:pPr>
        <w:widowControl/>
        <w:spacing w:after="240"/>
        <w:jc w:val="center"/>
        <w:rPr>
          <w:rFonts w:eastAsia="Times New Roman"/>
          <w:kern w:val="0"/>
          <w:sz w:val="24"/>
        </w:rPr>
      </w:pPr>
      <w:bookmarkStart w:id="0" w:name="a000"/>
      <w:r>
        <w:rPr>
          <w:rFonts w:ascii="fang_song_gb2312" w:hAnsi="fang_song_gb2312" w:eastAsia="fang_song_gb2312" w:cs="fang_song_gb2312"/>
          <w:b/>
          <w:bCs/>
          <w:kern w:val="0"/>
          <w:sz w:val="54"/>
          <w:szCs w:val="54"/>
        </w:rPr>
        <w:t>目 录</w:t>
      </w:r>
    </w:p>
    <w:p w14:paraId="0C732219">
      <w:pPr>
        <w:widowControl/>
        <w:spacing w:before="240" w:after="240"/>
        <w:jc w:val="left"/>
        <w:rPr>
          <w:rFonts w:eastAsia="Times New Roman"/>
          <w:kern w:val="0"/>
          <w:sz w:val="24"/>
        </w:rPr>
      </w:pPr>
      <w:r>
        <w:rPr>
          <w:rFonts w:eastAsia="Times New Roman"/>
          <w:b/>
          <w:bCs/>
          <w:kern w:val="0"/>
          <w:sz w:val="24"/>
        </w:rPr>
        <w:t> </w:t>
      </w:r>
    </w:p>
    <w:p w14:paraId="2B158BCA">
      <w:pPr>
        <w:widowControl/>
        <w:spacing w:before="240" w:after="240"/>
        <w:jc w:val="left"/>
        <w:rPr>
          <w:rFonts w:eastAsia="Times New Roman"/>
          <w:kern w:val="0"/>
          <w:sz w:val="32"/>
          <w:szCs w:val="32"/>
        </w:rPr>
      </w:pPr>
      <w:r>
        <w:rPr>
          <w:rFonts w:ascii="黑体" w:hAnsi="黑体" w:eastAsia="黑体" w:cs="黑体"/>
          <w:kern w:val="0"/>
          <w:sz w:val="32"/>
          <w:szCs w:val="32"/>
        </w:rPr>
        <w:t>第一部分 部门（单位）概况</w:t>
      </w:r>
    </w:p>
    <w:p w14:paraId="2E4B37B0">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一、主要职能、职责</w:t>
      </w:r>
    </w:p>
    <w:p w14:paraId="6467C463">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二、部门（单位）机构设置及决算单位构成情况</w:t>
      </w:r>
    </w:p>
    <w:p w14:paraId="6CBBE85D">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三、</w:t>
      </w:r>
      <w:r>
        <w:rPr>
          <w:rFonts w:ascii="times_new_roman" w:hAnsi="times_new_roman" w:eastAsia="times_new_roman" w:cs="times_new_roman"/>
          <w:kern w:val="0"/>
          <w:sz w:val="32"/>
          <w:szCs w:val="32"/>
        </w:rPr>
        <w:t>2023</w:t>
      </w:r>
      <w:r>
        <w:rPr>
          <w:rFonts w:ascii="fang_song_gb2312" w:hAnsi="fang_song_gb2312" w:eastAsia="fang_song_gb2312" w:cs="fang_song_gb2312"/>
          <w:kern w:val="0"/>
          <w:sz w:val="32"/>
          <w:szCs w:val="32"/>
        </w:rPr>
        <w:t>年度部门（单位）主要工作完成情况</w:t>
      </w:r>
    </w:p>
    <w:p w14:paraId="52C70DCA">
      <w:pPr>
        <w:widowControl/>
        <w:spacing w:before="240" w:after="240"/>
        <w:jc w:val="left"/>
        <w:rPr>
          <w:rFonts w:eastAsia="Times New Roman"/>
          <w:kern w:val="0"/>
          <w:sz w:val="32"/>
          <w:szCs w:val="32"/>
        </w:rPr>
      </w:pPr>
      <w:r>
        <w:rPr>
          <w:rFonts w:ascii="黑体" w:hAnsi="黑体" w:eastAsia="黑体" w:cs="黑体"/>
          <w:kern w:val="0"/>
          <w:sz w:val="32"/>
          <w:szCs w:val="32"/>
        </w:rPr>
        <w:t>第二部分 部门（单位）决算情况说明</w:t>
      </w:r>
    </w:p>
    <w:p w14:paraId="722E2B71">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一、收入支出决算总体情况说明</w:t>
      </w:r>
    </w:p>
    <w:p w14:paraId="132EFC0F">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二、收入决算情况说明</w:t>
      </w:r>
    </w:p>
    <w:p w14:paraId="16FCB83A">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三、支出决算情况说明</w:t>
      </w:r>
    </w:p>
    <w:p w14:paraId="77E32F57">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四、财政拨款收入支出决算总体情况说明</w:t>
      </w:r>
    </w:p>
    <w:p w14:paraId="12C19898">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五、一般公共预算财政拨款支出决算情况说明</w:t>
      </w:r>
    </w:p>
    <w:p w14:paraId="2998718A">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六、一般公共预算财政拨款基本支出决算情况说明</w:t>
      </w:r>
    </w:p>
    <w:p w14:paraId="515F273C">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七、一般公共预算财政拨款项目支出决算情况说明</w:t>
      </w:r>
    </w:p>
    <w:p w14:paraId="21862D8D">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八、财政拨款“三公”经费支出决算情况说明</w:t>
      </w:r>
    </w:p>
    <w:p w14:paraId="59B278D7">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九、政府性基金预算财政拨款支出决算情况说明</w:t>
      </w:r>
    </w:p>
    <w:p w14:paraId="241B78C0">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十、国有资本经营预算财政拨款支出决算情况说明</w:t>
      </w:r>
    </w:p>
    <w:p w14:paraId="0D8D9FA4">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十一、机构运行经费支出决算情况说明</w:t>
      </w:r>
    </w:p>
    <w:p w14:paraId="562FD9DE">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十二、政府采购支出决算情况说明</w:t>
      </w:r>
    </w:p>
    <w:p w14:paraId="51B57F0A">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十三、国有资产占用情况说明</w:t>
      </w:r>
    </w:p>
    <w:p w14:paraId="6784B6F4">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十四、预算绩效情况说明</w:t>
      </w:r>
    </w:p>
    <w:p w14:paraId="414C64EE">
      <w:pPr>
        <w:widowControl/>
        <w:spacing w:before="240" w:after="240"/>
        <w:jc w:val="left"/>
        <w:rPr>
          <w:rFonts w:eastAsia="Times New Roman"/>
          <w:kern w:val="0"/>
          <w:sz w:val="32"/>
          <w:szCs w:val="32"/>
        </w:rPr>
      </w:pPr>
      <w:r>
        <w:rPr>
          <w:rFonts w:ascii="黑体" w:hAnsi="黑体" w:eastAsia="黑体" w:cs="黑体"/>
          <w:kern w:val="0"/>
          <w:sz w:val="32"/>
          <w:szCs w:val="32"/>
        </w:rPr>
        <w:t>第三部分 名词解释</w:t>
      </w:r>
    </w:p>
    <w:p w14:paraId="12C08272">
      <w:pPr>
        <w:widowControl/>
        <w:spacing w:before="240" w:after="240"/>
        <w:jc w:val="left"/>
        <w:rPr>
          <w:rFonts w:eastAsia="Times New Roman"/>
          <w:kern w:val="0"/>
          <w:sz w:val="32"/>
          <w:szCs w:val="32"/>
        </w:rPr>
      </w:pPr>
      <w:r>
        <w:rPr>
          <w:rFonts w:ascii="黑体" w:hAnsi="黑体" w:eastAsia="黑体" w:cs="黑体"/>
          <w:kern w:val="0"/>
          <w:sz w:val="32"/>
          <w:szCs w:val="32"/>
        </w:rPr>
        <w:t>第四部分 决算公开联系方式及信息反馈渠道</w:t>
      </w:r>
    </w:p>
    <w:p w14:paraId="2A0571C3">
      <w:pPr>
        <w:widowControl/>
        <w:spacing w:before="240" w:after="240"/>
        <w:jc w:val="left"/>
        <w:rPr>
          <w:rFonts w:eastAsia="Times New Roman"/>
          <w:kern w:val="0"/>
          <w:sz w:val="32"/>
          <w:szCs w:val="32"/>
        </w:rPr>
      </w:pPr>
      <w:r>
        <w:rPr>
          <w:rFonts w:ascii="黑体" w:hAnsi="黑体" w:eastAsia="黑体" w:cs="黑体"/>
          <w:kern w:val="0"/>
          <w:sz w:val="32"/>
          <w:szCs w:val="32"/>
        </w:rPr>
        <w:t>第五部分 部门（单位）决算表</w:t>
      </w:r>
    </w:p>
    <w:p w14:paraId="769B82C7">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一、收入支出决算总表</w:t>
      </w:r>
    </w:p>
    <w:p w14:paraId="2C67AD62">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二、收入决算表</w:t>
      </w:r>
    </w:p>
    <w:p w14:paraId="11859563">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三、支出决算表</w:t>
      </w:r>
    </w:p>
    <w:p w14:paraId="3C632CF2">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四、财政拨款收入支出决算总表</w:t>
      </w:r>
    </w:p>
    <w:p w14:paraId="25EF92F1">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五、一般公共预算财政拨款支出决算表</w:t>
      </w:r>
    </w:p>
    <w:p w14:paraId="2E302C7A">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六、一般公共预算财政拨款基本支出决算明细表</w:t>
      </w:r>
    </w:p>
    <w:p w14:paraId="14F1262B">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七、一般公共预算财政拨款项目支出决算明细表</w:t>
      </w:r>
    </w:p>
    <w:p w14:paraId="786F5D38">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八、政府性基金预算财政拨款收入支出决算表</w:t>
      </w:r>
    </w:p>
    <w:p w14:paraId="22750EBE">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九、国有资本经营预算财政拨款支出决算表</w:t>
      </w:r>
    </w:p>
    <w:p w14:paraId="50272A91">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十、财政拨款“三公”经费支出决算表</w:t>
      </w:r>
    </w:p>
    <w:p w14:paraId="34B40EA6">
      <w:pPr>
        <w:widowControl/>
        <w:spacing w:before="240" w:after="240"/>
        <w:jc w:val="left"/>
        <w:rPr>
          <w:rFonts w:eastAsia="Times New Roman"/>
          <w:kern w:val="0"/>
          <w:sz w:val="32"/>
          <w:szCs w:val="32"/>
        </w:rPr>
      </w:pPr>
      <w:r>
        <w:rPr>
          <w:rFonts w:ascii="fang_song_gb2312" w:hAnsi="fang_song_gb2312" w:eastAsia="fang_song_gb2312" w:cs="fang_song_gb2312"/>
          <w:kern w:val="0"/>
          <w:sz w:val="32"/>
          <w:szCs w:val="32"/>
        </w:rPr>
        <w:t>十一、机构运行经费支出、国有资产占用情况及政府采购支出信息表</w:t>
      </w:r>
    </w:p>
    <w:p w14:paraId="322B072D">
      <w:pPr>
        <w:widowControl/>
        <w:spacing w:before="240" w:after="240"/>
        <w:rPr>
          <w:rFonts w:hint="eastAsia" w:eastAsiaTheme="minorEastAsia"/>
          <w:kern w:val="0"/>
          <w:sz w:val="24"/>
        </w:rPr>
      </w:pPr>
    </w:p>
    <w:p w14:paraId="2445D4D0">
      <w:pPr>
        <w:widowControl/>
        <w:spacing w:before="240" w:after="240"/>
        <w:rPr>
          <w:rFonts w:hint="eastAsia" w:eastAsiaTheme="minorEastAsia"/>
          <w:kern w:val="0"/>
          <w:sz w:val="24"/>
        </w:rPr>
      </w:pPr>
    </w:p>
    <w:p w14:paraId="4F4694AC">
      <w:pPr>
        <w:widowControl/>
        <w:spacing w:before="240" w:after="240"/>
        <w:rPr>
          <w:rFonts w:hint="eastAsia" w:eastAsiaTheme="minorEastAsia"/>
          <w:kern w:val="0"/>
          <w:sz w:val="24"/>
        </w:rPr>
      </w:pPr>
    </w:p>
    <w:p w14:paraId="4F6453E6">
      <w:pPr>
        <w:widowControl/>
        <w:spacing w:before="240" w:after="240"/>
        <w:rPr>
          <w:rFonts w:hint="eastAsia" w:eastAsiaTheme="minorEastAsia"/>
          <w:kern w:val="0"/>
          <w:sz w:val="24"/>
        </w:rPr>
      </w:pPr>
    </w:p>
    <w:p w14:paraId="14FD5F2B">
      <w:pPr>
        <w:widowControl/>
        <w:spacing w:before="240" w:after="240"/>
        <w:rPr>
          <w:rFonts w:hint="eastAsia" w:eastAsiaTheme="minorEastAsia"/>
          <w:kern w:val="0"/>
          <w:sz w:val="24"/>
        </w:rPr>
      </w:pPr>
    </w:p>
    <w:p w14:paraId="3C03F2CD">
      <w:pPr>
        <w:widowControl/>
        <w:spacing w:before="240" w:after="240"/>
        <w:rPr>
          <w:rFonts w:hint="eastAsia" w:eastAsiaTheme="minorEastAsia"/>
          <w:kern w:val="0"/>
          <w:sz w:val="24"/>
        </w:rPr>
      </w:pPr>
    </w:p>
    <w:p w14:paraId="35081A6B">
      <w:pPr>
        <w:widowControl/>
        <w:spacing w:before="240" w:after="240"/>
        <w:rPr>
          <w:rFonts w:hint="eastAsia" w:eastAsiaTheme="minorEastAsia"/>
          <w:kern w:val="0"/>
          <w:sz w:val="24"/>
        </w:rPr>
      </w:pPr>
    </w:p>
    <w:p w14:paraId="57F95C90">
      <w:pPr>
        <w:widowControl/>
        <w:spacing w:before="240" w:after="240"/>
        <w:rPr>
          <w:rFonts w:hint="eastAsia" w:eastAsiaTheme="minorEastAsia"/>
          <w:kern w:val="0"/>
          <w:sz w:val="24"/>
        </w:rPr>
      </w:pPr>
    </w:p>
    <w:p w14:paraId="730BBFDA">
      <w:pPr>
        <w:widowControl/>
        <w:spacing w:before="240" w:after="240"/>
        <w:rPr>
          <w:rFonts w:hint="eastAsia" w:eastAsiaTheme="minorEastAsia"/>
          <w:kern w:val="0"/>
          <w:sz w:val="24"/>
        </w:rPr>
      </w:pPr>
    </w:p>
    <w:p w14:paraId="077D25B5">
      <w:pPr>
        <w:widowControl/>
        <w:spacing w:before="240" w:after="240"/>
        <w:rPr>
          <w:rFonts w:hint="eastAsia" w:eastAsiaTheme="minorEastAsia"/>
          <w:kern w:val="0"/>
          <w:sz w:val="24"/>
        </w:rPr>
      </w:pPr>
    </w:p>
    <w:p w14:paraId="35E08565">
      <w:pPr>
        <w:widowControl/>
        <w:spacing w:before="240" w:after="240"/>
        <w:rPr>
          <w:rFonts w:hint="eastAsia" w:eastAsiaTheme="minorEastAsia"/>
          <w:kern w:val="0"/>
          <w:sz w:val="24"/>
        </w:rPr>
      </w:pPr>
    </w:p>
    <w:p w14:paraId="1BA39A1F">
      <w:pPr>
        <w:widowControl/>
        <w:spacing w:before="240" w:after="240"/>
        <w:rPr>
          <w:rFonts w:hint="eastAsia" w:eastAsiaTheme="minorEastAsia"/>
          <w:kern w:val="0"/>
          <w:sz w:val="24"/>
        </w:rPr>
      </w:pPr>
    </w:p>
    <w:p w14:paraId="721EDB74">
      <w:pPr>
        <w:widowControl/>
        <w:spacing w:before="240" w:after="240"/>
        <w:rPr>
          <w:rFonts w:hint="eastAsia" w:eastAsiaTheme="minorEastAsia"/>
          <w:kern w:val="0"/>
          <w:sz w:val="24"/>
        </w:rPr>
      </w:pPr>
    </w:p>
    <w:p w14:paraId="2B229231">
      <w:pPr>
        <w:widowControl/>
        <w:spacing w:before="240" w:after="240"/>
        <w:rPr>
          <w:rFonts w:hint="eastAsia" w:eastAsiaTheme="minorEastAsia"/>
          <w:kern w:val="0"/>
          <w:sz w:val="24"/>
        </w:rPr>
      </w:pPr>
    </w:p>
    <w:p w14:paraId="2B5ECC3B">
      <w:pPr>
        <w:widowControl/>
        <w:spacing w:before="240" w:after="240"/>
        <w:rPr>
          <w:rFonts w:eastAsia="Times New Roman"/>
          <w:kern w:val="0"/>
          <w:sz w:val="24"/>
        </w:rPr>
      </w:pPr>
    </w:p>
    <w:p w14:paraId="16BA6E7F">
      <w:pPr>
        <w:widowControl/>
        <w:spacing w:before="240" w:after="240"/>
        <w:rPr>
          <w:rFonts w:eastAsia="Times New Roman"/>
          <w:kern w:val="0"/>
          <w:sz w:val="24"/>
        </w:rPr>
      </w:pPr>
    </w:p>
    <w:p w14:paraId="620BCBA6">
      <w:pPr>
        <w:widowControl/>
        <w:spacing w:before="240" w:after="240"/>
        <w:rPr>
          <w:rFonts w:eastAsia="Times New Roman"/>
          <w:kern w:val="0"/>
          <w:sz w:val="24"/>
        </w:rPr>
      </w:pPr>
    </w:p>
    <w:p w14:paraId="1DA449CB">
      <w:pPr>
        <w:widowControl/>
        <w:spacing w:before="240" w:after="240"/>
        <w:rPr>
          <w:rFonts w:eastAsia="Times New Roman"/>
          <w:kern w:val="0"/>
          <w:sz w:val="24"/>
        </w:rPr>
      </w:pPr>
    </w:p>
    <w:p w14:paraId="6E5F10CA">
      <w:pPr>
        <w:widowControl/>
        <w:spacing w:before="240" w:after="240"/>
        <w:rPr>
          <w:rFonts w:eastAsia="Times New Roman"/>
          <w:kern w:val="0"/>
          <w:sz w:val="24"/>
        </w:rPr>
      </w:pPr>
    </w:p>
    <w:p w14:paraId="76E1A96A">
      <w:pPr>
        <w:keepNext w:val="0"/>
        <w:keepLines w:val="0"/>
        <w:pageBreakBefore w:val="0"/>
        <w:widowControl/>
        <w:kinsoku/>
        <w:wordWrap/>
        <w:overflowPunct/>
        <w:topLinePunct w:val="0"/>
        <w:autoSpaceDE/>
        <w:autoSpaceDN/>
        <w:bidi w:val="0"/>
        <w:adjustRightInd/>
        <w:snapToGrid/>
        <w:spacing w:before="240"/>
        <w:jc w:val="center"/>
        <w:textAlignment w:val="auto"/>
        <w:rPr>
          <w:rFonts w:eastAsia="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第一部分单位概况</w:t>
      </w:r>
    </w:p>
    <w:p w14:paraId="2BD09180">
      <w:pPr>
        <w:keepNext w:val="0"/>
        <w:keepLines w:val="0"/>
        <w:pageBreakBefore w:val="0"/>
        <w:widowControl/>
        <w:kinsoku/>
        <w:wordWrap/>
        <w:overflowPunct/>
        <w:topLinePunct w:val="0"/>
        <w:autoSpaceDE/>
        <w:autoSpaceDN/>
        <w:bidi w:val="0"/>
        <w:adjustRightInd/>
        <w:snapToGrid/>
        <w:spacing w:before="240"/>
        <w:jc w:val="left"/>
        <w:textAlignment w:val="auto"/>
        <w:rPr>
          <w:rFonts w:eastAsiaTheme="minorEastAsia"/>
          <w:kern w:val="0"/>
          <w:sz w:val="32"/>
          <w:szCs w:val="32"/>
        </w:rPr>
      </w:pP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hint="eastAsia" w:ascii="Calibri" w:hAnsi="Calibri" w:cs="Calibri"/>
          <w:b/>
          <w:bCs/>
          <w:kern w:val="0"/>
          <w:sz w:val="32"/>
          <w:szCs w:val="32"/>
          <w:lang w:val="en-US" w:eastAsia="zh-CN"/>
        </w:rPr>
        <w:t xml:space="preserve">  </w:t>
      </w:r>
      <w:r>
        <w:rPr>
          <w:rFonts w:ascii="黑体" w:hAnsi="黑体" w:eastAsia="黑体" w:cs="黑体"/>
          <w:b/>
          <w:bCs/>
          <w:kern w:val="0"/>
          <w:sz w:val="32"/>
          <w:szCs w:val="32"/>
        </w:rPr>
        <w:t xml:space="preserve"> 一、主要职能、职责</w:t>
      </w:r>
    </w:p>
    <w:p w14:paraId="45BD4E7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(一)贯彻落实国家、自治区有关农牧业方面的法律法规政策，统筹研究和组织实施全盟“三农三牧”经济社会发展规划。健全农牧业综合执法体系。</w:t>
      </w:r>
    </w:p>
    <w:p w14:paraId="050D4E5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二)统筹实施乡村振兴战略，拟订农村牧区社会事业发展规划。承担农村牧区社会事业发展方面的调查研究。参与相关政策的制定,统筹推动农村牧区社会事业发展、公共服务体系建设、基础设施建设和乡村牧区治理。牵头协调指导农村牧区人居环境和生产环境的改善。指导农村牧区精神文明、优秀农耕文化、游牧文化和草原文化建设。</w:t>
      </w:r>
    </w:p>
    <w:p w14:paraId="43AFDF7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三)统筹推进农村牧区经济体制改革，研究提出深化全盟农村牧区经济体制改革和基本经营制度的政策建议,指导农牧民承包地、宅基地管理有关工作,监督耕地使用权流转，指导承包纠纷仲裁工作。指导农村牧区集体经济组织发展、集体产权制度改革和集体资产管理工作。指导农牧民合作经济组织、农牧业社会化服务体系、新型农牧业经营主体建设与发展。监督减轻农牧民负担，指导农牧民筹资筹劳工作。</w:t>
      </w:r>
    </w:p>
    <w:p w14:paraId="7FB3695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(四)负责拟订农牧业产业化经营的政策、规划。指导农村牧区特色产业、农畜产品加工业、休闲农牧业发展和产业化服务体系建设。指导农村牧区产业扶贫工作。</w:t>
      </w:r>
    </w:p>
    <w:p w14:paraId="6B1B4B1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（五)研究拟订大宗农畜产品市场体系建设与发展规划。培育、保护农牧业品牌。监测分析农牧业和农村牧区经济运行，开展农牧业和农村牧区经济信息统计和发布工作。指导农牧业和农村牧区信息化有关工作。</w:t>
      </w:r>
    </w:p>
    <w:p w14:paraId="3106B9D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六)负责畜牧业、种植业、渔业、农垦、农牧业机械化等各产业的指导、服务和监督管理。组织落实促进肉类、粮食、奶业、饲草饲料和水产品等主要农畜产品生产发展的相关政策措施。组织构建现代农牧业产业体系、生产体系和经营体系。引导农牧业结构调整、优化布局。指导农牧业标准化、规模化生产，推进优质高效绿色安全农牧业发展。</w:t>
      </w:r>
    </w:p>
    <w:p w14:paraId="1072090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七)负责农畜产品质量安全监督管理,组织开展农畜产品质量安全监测和风险评估，发布有关农畜产品质量安全状况信息。承担农畜产品质量安全标准化工作。指导全盟农牧业检验检测体系建设,组织指导农畜产品质量安全追溯体系建设、无公害农畜产品、绿色产品、有机农牧业发展、地理标志农畜产品相关工作。</w:t>
      </w:r>
    </w:p>
    <w:p w14:paraId="5AEDF10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八)负责农牧业资源保护和可持续利用工作。指导农牧业用地、渔业水域以及农牧业生物物种资源、水生野生动植物的保护与管理。负责耕地及永久基本农田质量保护工作，拟订耕地及基本农田质量保护措施,依法管理耕地质量、保护和清洁生产。指导设施农牧业、生态循环和节水农牧业、农村牧区可再生能源综合开发利用及农牧业生物质产业发展。</w:t>
      </w:r>
    </w:p>
    <w:p w14:paraId="47B7DDB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九)负责有关农牧业生产资料和投入品的监督管理，组织落实有关农牧业生产资料和投入品国家标准，依法开展农作物种子的生产经营许可及监督管理。负责饲草饲料、兽药产品质量安全管理工作。组织开展农药、兽药残留检测。负责对农牧业机械产品质量的监督管理。</w:t>
      </w:r>
    </w:p>
    <w:p w14:paraId="5907A79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负责农作物、畜禽和水生生物疫病的防治,拟订动植物防疫和检疫的地方政策。指导动植物防疫和检疫体系建设,组织和监督全盟动植物防疫检疫工作,负责突发动物疫情应急处置工作。承担动植物有害生物普查和外来生物安全的管理工作。负责兽医队伍、兽药和屠宰行业管理工作。</w:t>
      </w:r>
    </w:p>
    <w:p w14:paraId="6F0EF01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（十一)按照管行业必须管安全、管业务必须管安全、管生产经营必须管安全的要求，履行安全生产责任制规定的职责。</w:t>
      </w:r>
    </w:p>
    <w:p w14:paraId="6350A06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(十二)负责农牧业行业防灾减灾工作。监测、发布农牧业灾情,组织种子、农药、化肥、兽药、饲草饲料等救灾物资的储备和调拨,提出生产救灾资金的安排使用建议,指导紧急救灾和灾后恢复生产。</w:t>
      </w:r>
    </w:p>
    <w:p w14:paraId="2FCF16E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三)负责农牧业投资管理。提出扶持农牧业农村牧区发展的财政政策,以及农牧业农村牧区投融资体制机制改革建议。组织编制中央、自治区、盟级财政安排的农牧业农村牧区投资项目建设规划。组织拟订产业扶贫、农田水利、农田整治、农牧业综合开发计划规划,编报部门预算。按照规定权限,审核全盟规划内和年度计划规模内的农牧业农村牧区投资项目,负责农牧业投资项目的资金安排和监督管理。</w:t>
      </w:r>
    </w:p>
    <w:p w14:paraId="3A6E8CF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四)负责拟订全盟农牧业科研、技术推广的规划和有关政策，指导农牧业科技成果转化和技术推广，推动农牧业科技体制改革创新和产学研协作体系建设。负责农牧业转基因生物安全监管。开展农牧业新品种保护工作。</w:t>
      </w:r>
    </w:p>
    <w:p w14:paraId="68BE75E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（十五）指导农牧业和农村牧区人才工作。组织指导农村牧区、龙头企业职业技能教育和开发工作,负责新型职业农牧民、农牧业科技人才培养和农村牧区实用人才培训工作。</w:t>
      </w:r>
    </w:p>
    <w:p w14:paraId="5D6759A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(十六)牵头开展农牧业对外合作工作。组织开展农牧业地区间经济技术交流合作,参与有关农牧业援外项目。</w:t>
      </w:r>
    </w:p>
    <w:p w14:paraId="3961FBC5">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（十七）完成盟委、行署交办的其他任务。</w:t>
      </w:r>
    </w:p>
    <w:p w14:paraId="0DBA7B14">
      <w:pPr>
        <w:keepNext w:val="0"/>
        <w:keepLines w:val="0"/>
        <w:pageBreakBefore w:val="0"/>
        <w:widowControl/>
        <w:kinsoku/>
        <w:wordWrap/>
        <w:overflowPunct/>
        <w:topLinePunct w:val="0"/>
        <w:autoSpaceDE/>
        <w:autoSpaceDN/>
        <w:bidi w:val="0"/>
        <w:adjustRightInd/>
        <w:snapToGrid/>
        <w:spacing w:before="240" w:after="240"/>
        <w:jc w:val="left"/>
        <w:textAlignment w:val="auto"/>
        <w:rPr>
          <w:rFonts w:eastAsia="Times New Roman"/>
          <w:kern w:val="0"/>
          <w:sz w:val="32"/>
          <w:szCs w:val="32"/>
        </w:rPr>
      </w:pP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hint="eastAsia" w:ascii="黑体" w:hAnsi="黑体" w:eastAsia="黑体" w:cs="黑体"/>
          <w:b/>
          <w:bCs/>
          <w:kern w:val="0"/>
          <w:sz w:val="32"/>
          <w:szCs w:val="32"/>
          <w:lang w:val="en-US" w:eastAsia="zh-CN"/>
        </w:rPr>
        <w:t xml:space="preserve"> </w:t>
      </w:r>
      <w:r>
        <w:rPr>
          <w:rFonts w:ascii="黑体" w:hAnsi="黑体" w:eastAsia="黑体" w:cs="黑体"/>
          <w:b/>
          <w:bCs/>
          <w:kern w:val="0"/>
          <w:sz w:val="32"/>
          <w:szCs w:val="32"/>
        </w:rPr>
        <w:t>二、单位机构设置及决算单位构成情况</w:t>
      </w:r>
    </w:p>
    <w:p w14:paraId="6EDC9E68">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根据单位职责分工，本单位内设机构包括办公室、机关党委、人事科、计划财务科、发展规划科、政策法规科、畜牧科、种植业管理科、农村牧区社会事业促进科、科技教育科、农牧业机械化管理科、农牧场管理科、农牧业综合开发科、饲草饲料科、农畜产品质量安全监管科、离退休人员工作科、乡村牧区产业发展科、农村牧区合作经济指导科、市场与信息化科、兽医科、种业管理科、秘书科。本单</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下属单位。</w:t>
      </w:r>
    </w:p>
    <w:p w14:paraId="73A4190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2.从决算单位构成看，纳入本财政汇总决算编制范围的预算单位共计</w:t>
      </w:r>
      <w:r>
        <w:rPr>
          <w:rFonts w:hint="eastAsia" w:ascii="仿宋" w:hAnsi="仿宋" w:eastAsia="仿宋" w:cs="仿宋"/>
          <w:kern w:val="0"/>
          <w:sz w:val="32"/>
          <w:szCs w:val="32"/>
          <w:u w:val="single"/>
        </w:rPr>
        <w:t>1</w:t>
      </w:r>
      <w:r>
        <w:rPr>
          <w:rFonts w:hint="eastAsia" w:ascii="仿宋" w:hAnsi="仿宋" w:eastAsia="仿宋" w:cs="仿宋"/>
          <w:kern w:val="0"/>
          <w:sz w:val="32"/>
          <w:szCs w:val="32"/>
        </w:rPr>
        <w:t>家，具体包括：锡林郭勒盟农牧局本级。详细情况见表：</w:t>
      </w:r>
    </w:p>
    <w:tbl>
      <w:tblPr>
        <w:tblStyle w:val="20"/>
        <w:tblW w:w="4152"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787"/>
        <w:gridCol w:w="4330"/>
        <w:gridCol w:w="3008"/>
      </w:tblGrid>
      <w:tr w14:paraId="02C5596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84" w:type="pct"/>
            <w:tcBorders>
              <w:bottom w:val="inset" w:color="808080" w:sz="6" w:space="0"/>
              <w:right w:val="inset" w:color="808080" w:sz="6" w:space="0"/>
            </w:tcBorders>
            <w:noWrap/>
            <w:tcMar>
              <w:top w:w="22" w:type="dxa"/>
              <w:left w:w="22" w:type="dxa"/>
              <w:bottom w:w="22" w:type="dxa"/>
              <w:right w:w="22" w:type="dxa"/>
            </w:tcMar>
            <w:vAlign w:val="center"/>
          </w:tcPr>
          <w:p w14:paraId="787AE85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2664" w:type="pct"/>
            <w:tcBorders>
              <w:left w:val="inset" w:color="808080" w:sz="6" w:space="0"/>
              <w:bottom w:val="inset" w:color="808080" w:sz="6" w:space="0"/>
              <w:right w:val="inset" w:color="808080" w:sz="6" w:space="0"/>
            </w:tcBorders>
            <w:noWrap/>
            <w:tcMar>
              <w:top w:w="22" w:type="dxa"/>
              <w:left w:w="22" w:type="dxa"/>
              <w:bottom w:w="22" w:type="dxa"/>
              <w:right w:w="22" w:type="dxa"/>
            </w:tcMar>
            <w:vAlign w:val="center"/>
          </w:tcPr>
          <w:p w14:paraId="67C42AE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1850" w:type="pct"/>
            <w:tcBorders>
              <w:left w:val="inset" w:color="808080" w:sz="6" w:space="0"/>
              <w:bottom w:val="inset" w:color="808080" w:sz="6" w:space="0"/>
            </w:tcBorders>
            <w:noWrap/>
            <w:tcMar>
              <w:top w:w="22" w:type="dxa"/>
              <w:left w:w="22" w:type="dxa"/>
              <w:bottom w:w="22" w:type="dxa"/>
              <w:right w:w="22" w:type="dxa"/>
            </w:tcMar>
            <w:vAlign w:val="center"/>
          </w:tcPr>
          <w:p w14:paraId="08A712E4">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r>
      <w:tr w14:paraId="144878C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84" w:type="pct"/>
            <w:tcBorders>
              <w:top w:val="inset" w:color="808080" w:sz="6" w:space="0"/>
              <w:bottom w:val="inset" w:color="808080" w:sz="6" w:space="0"/>
              <w:right w:val="inset" w:color="808080" w:sz="6" w:space="0"/>
            </w:tcBorders>
            <w:noWrap/>
            <w:tcMar>
              <w:top w:w="22" w:type="dxa"/>
              <w:left w:w="22" w:type="dxa"/>
              <w:bottom w:w="22" w:type="dxa"/>
              <w:right w:w="22" w:type="dxa"/>
            </w:tcMar>
            <w:vAlign w:val="center"/>
          </w:tcPr>
          <w:p w14:paraId="6FD4D553">
            <w:pPr>
              <w:keepNext w:val="0"/>
              <w:keepLines w:val="0"/>
              <w:pageBreakBefore w:val="0"/>
              <w:widowControl/>
              <w:kinsoku/>
              <w:wordWrap/>
              <w:overflowPunct/>
              <w:topLinePunct w:val="0"/>
              <w:autoSpaceDE/>
              <w:autoSpaceDN/>
              <w:bidi w:val="0"/>
              <w:adjustRightInd/>
              <w:snapToGrid/>
              <w:spacing w:before="24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2664" w:type="pct"/>
            <w:tcBorders>
              <w:top w:val="inset" w:color="808080" w:sz="6" w:space="0"/>
              <w:left w:val="inset" w:color="808080" w:sz="6" w:space="0"/>
              <w:bottom w:val="inset" w:color="808080" w:sz="6" w:space="0"/>
              <w:right w:val="inset" w:color="808080" w:sz="6" w:space="0"/>
            </w:tcBorders>
            <w:noWrap/>
            <w:tcMar>
              <w:top w:w="22" w:type="dxa"/>
              <w:left w:w="22" w:type="dxa"/>
              <w:bottom w:w="22" w:type="dxa"/>
              <w:right w:w="22" w:type="dxa"/>
            </w:tcMar>
            <w:vAlign w:val="center"/>
          </w:tcPr>
          <w:p w14:paraId="5890AFED">
            <w:pPr>
              <w:keepNext w:val="0"/>
              <w:keepLines w:val="0"/>
              <w:pageBreakBefore w:val="0"/>
              <w:widowControl/>
              <w:kinsoku/>
              <w:wordWrap/>
              <w:overflowPunct/>
              <w:topLinePunct w:val="0"/>
              <w:autoSpaceDE/>
              <w:autoSpaceDN/>
              <w:bidi w:val="0"/>
              <w:adjustRightInd/>
              <w:snapToGrid/>
              <w:spacing w:before="24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锡林郭勒盟农牧局(本级)</w:t>
            </w:r>
          </w:p>
        </w:tc>
        <w:tc>
          <w:tcPr>
            <w:tcW w:w="1850" w:type="pct"/>
            <w:tcBorders>
              <w:top w:val="inset" w:color="808080" w:sz="6" w:space="0"/>
              <w:left w:val="inset" w:color="808080" w:sz="6" w:space="0"/>
              <w:bottom w:val="inset" w:color="808080" w:sz="6" w:space="0"/>
            </w:tcBorders>
            <w:noWrap/>
            <w:tcMar>
              <w:top w:w="22" w:type="dxa"/>
              <w:left w:w="22" w:type="dxa"/>
              <w:bottom w:w="22" w:type="dxa"/>
              <w:right w:w="22" w:type="dxa"/>
            </w:tcMar>
            <w:vAlign w:val="center"/>
          </w:tcPr>
          <w:p w14:paraId="692379B6">
            <w:pPr>
              <w:keepNext w:val="0"/>
              <w:keepLines w:val="0"/>
              <w:pageBreakBefore w:val="0"/>
              <w:widowControl/>
              <w:kinsoku/>
              <w:wordWrap/>
              <w:overflowPunct/>
              <w:topLinePunct w:val="0"/>
              <w:autoSpaceDE/>
              <w:autoSpaceDN/>
              <w:bidi w:val="0"/>
              <w:adjustRightInd/>
              <w:snapToGrid/>
              <w:spacing w:before="24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财政拨款的行政单位</w:t>
            </w:r>
          </w:p>
        </w:tc>
      </w:tr>
    </w:tbl>
    <w:p w14:paraId="2F65B5B2">
      <w:pPr>
        <w:keepNext w:val="0"/>
        <w:keepLines w:val="0"/>
        <w:pageBreakBefore w:val="0"/>
        <w:widowControl/>
        <w:kinsoku/>
        <w:wordWrap/>
        <w:overflowPunct/>
        <w:topLinePunct w:val="0"/>
        <w:autoSpaceDE/>
        <w:autoSpaceDN/>
        <w:bidi w:val="0"/>
        <w:adjustRightInd/>
        <w:snapToGrid/>
        <w:spacing w:before="240"/>
        <w:jc w:val="left"/>
        <w:textAlignment w:val="auto"/>
        <w:rPr>
          <w:rFonts w:ascii="Calibri" w:hAnsi="Calibri" w:eastAsia="Calibri" w:cs="Calibri"/>
          <w:b/>
          <w:bCs/>
          <w:kern w:val="0"/>
          <w:sz w:val="27"/>
          <w:szCs w:val="27"/>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p>
    <w:p w14:paraId="058945DA">
      <w:pPr>
        <w:keepNext w:val="0"/>
        <w:keepLines w:val="0"/>
        <w:pageBreakBefore w:val="0"/>
        <w:widowControl/>
        <w:kinsoku/>
        <w:wordWrap/>
        <w:overflowPunct/>
        <w:topLinePunct w:val="0"/>
        <w:autoSpaceDE/>
        <w:autoSpaceDN/>
        <w:bidi w:val="0"/>
        <w:adjustRightInd/>
        <w:snapToGrid/>
        <w:ind w:firstLine="554" w:firstLineChars="0"/>
        <w:jc w:val="left"/>
        <w:textAlignment w:val="auto"/>
        <w:rPr>
          <w:rFonts w:hint="eastAsia" w:ascii="Calibri" w:hAnsi="Calibri" w:eastAsia="Calibri" w:cs="Calibri"/>
          <w:b/>
          <w:bCs/>
          <w:kern w:val="0"/>
          <w:sz w:val="32"/>
          <w:szCs w:val="32"/>
        </w:rPr>
      </w:pPr>
      <w:r>
        <w:rPr>
          <w:rFonts w:hint="eastAsia" w:ascii="Calibri" w:hAnsi="Calibri" w:eastAsia="Calibri" w:cs="Calibri"/>
          <w:b/>
          <w:bCs/>
          <w:kern w:val="0"/>
          <w:sz w:val="32"/>
          <w:szCs w:val="32"/>
        </w:rPr>
        <w:t>三、2023年度单位主要工作完成情况</w:t>
      </w:r>
    </w:p>
    <w:p w14:paraId="2F0A1AA8">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0"/>
          <w:sz w:val="32"/>
          <w:szCs w:val="32"/>
          <w:lang w:eastAsia="zh-CN"/>
        </w:rPr>
      </w:pPr>
      <w:bookmarkStart w:id="5" w:name="_GoBack"/>
      <w:r>
        <w:rPr>
          <w:rFonts w:hint="eastAsia" w:ascii="仿宋" w:hAnsi="仿宋" w:eastAsia="仿宋" w:cs="仿宋"/>
          <w:b/>
          <w:bCs/>
          <w:kern w:val="0"/>
          <w:sz w:val="32"/>
          <w:szCs w:val="32"/>
          <w:lang w:val="en-US" w:eastAsia="zh-CN"/>
        </w:rPr>
        <w:t>（一）</w:t>
      </w:r>
      <w:r>
        <w:rPr>
          <w:rFonts w:hint="eastAsia" w:ascii="仿宋" w:hAnsi="仿宋" w:eastAsia="仿宋" w:cs="仿宋"/>
          <w:b/>
          <w:bCs/>
          <w:kern w:val="0"/>
          <w:sz w:val="32"/>
          <w:szCs w:val="32"/>
          <w:lang w:eastAsia="zh-CN"/>
        </w:rPr>
        <w:t>加快补齐基础设施短板。</w:t>
      </w:r>
    </w:p>
    <w:p w14:paraId="072EBAC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一是持续推进高标准农田建设。</w:t>
      </w:r>
      <w:r>
        <w:rPr>
          <w:rFonts w:hint="eastAsia" w:ascii="仿宋" w:hAnsi="仿宋" w:eastAsia="仿宋" w:cs="仿宋"/>
          <w:kern w:val="0"/>
          <w:sz w:val="32"/>
          <w:szCs w:val="32"/>
        </w:rPr>
        <w:t>2万亩</w:t>
      </w:r>
      <w:r>
        <w:rPr>
          <w:rFonts w:hint="eastAsia" w:ascii="仿宋" w:hAnsi="仿宋" w:eastAsia="仿宋" w:cs="仿宋"/>
          <w:kern w:val="0"/>
          <w:sz w:val="32"/>
          <w:szCs w:val="32"/>
          <w:lang w:eastAsia="zh-CN"/>
        </w:rPr>
        <w:t>建设任务全部完成</w:t>
      </w:r>
      <w:r>
        <w:rPr>
          <w:rFonts w:hint="eastAsia" w:ascii="仿宋" w:hAnsi="仿宋" w:eastAsia="仿宋" w:cs="仿宋"/>
          <w:kern w:val="0"/>
          <w:sz w:val="32"/>
          <w:szCs w:val="32"/>
        </w:rPr>
        <w:t>，全盟累计</w:t>
      </w:r>
      <w:r>
        <w:rPr>
          <w:rFonts w:hint="eastAsia" w:ascii="仿宋" w:hAnsi="仿宋" w:eastAsia="仿宋" w:cs="仿宋"/>
          <w:kern w:val="0"/>
          <w:sz w:val="32"/>
          <w:szCs w:val="32"/>
          <w:lang w:eastAsia="zh-CN"/>
        </w:rPr>
        <w:t>建成</w:t>
      </w:r>
      <w:r>
        <w:rPr>
          <w:rFonts w:hint="eastAsia" w:ascii="仿宋" w:hAnsi="仿宋" w:eastAsia="仿宋" w:cs="仿宋"/>
          <w:kern w:val="0"/>
          <w:sz w:val="32"/>
          <w:szCs w:val="32"/>
        </w:rPr>
        <w:t>77.3万亩</w:t>
      </w:r>
      <w:r>
        <w:rPr>
          <w:rFonts w:hint="eastAsia" w:ascii="仿宋" w:hAnsi="仿宋" w:eastAsia="仿宋" w:cs="仿宋"/>
          <w:kern w:val="0"/>
          <w:sz w:val="32"/>
          <w:szCs w:val="32"/>
          <w:lang w:eastAsia="zh-CN"/>
        </w:rPr>
        <w:t>，占永久基本农田面积比例达到26.7%。完成盐碱地普查调查采样及土样分析化验工作。二是</w:t>
      </w:r>
      <w:r>
        <w:rPr>
          <w:rFonts w:hint="eastAsia" w:ascii="仿宋" w:hAnsi="仿宋" w:eastAsia="仿宋" w:cs="仿宋"/>
          <w:kern w:val="0"/>
          <w:sz w:val="32"/>
          <w:szCs w:val="32"/>
        </w:rPr>
        <w:t>加快发展高效设施农业</w:t>
      </w:r>
      <w:r>
        <w:rPr>
          <w:rFonts w:hint="eastAsia" w:ascii="仿宋" w:hAnsi="仿宋" w:eastAsia="仿宋" w:cs="仿宋"/>
          <w:kern w:val="0"/>
          <w:sz w:val="32"/>
          <w:szCs w:val="32"/>
          <w:lang w:eastAsia="zh-CN"/>
        </w:rPr>
        <w:t>。全年</w:t>
      </w:r>
      <w:r>
        <w:rPr>
          <w:rFonts w:hint="eastAsia" w:ascii="仿宋" w:hAnsi="仿宋" w:eastAsia="仿宋" w:cs="仿宋"/>
          <w:kern w:val="0"/>
          <w:sz w:val="32"/>
          <w:szCs w:val="32"/>
        </w:rPr>
        <w:t>完成</w:t>
      </w:r>
      <w:r>
        <w:rPr>
          <w:rFonts w:hint="eastAsia" w:ascii="仿宋" w:hAnsi="仿宋" w:eastAsia="仿宋" w:cs="仿宋"/>
          <w:kern w:val="0"/>
          <w:sz w:val="32"/>
          <w:szCs w:val="32"/>
          <w:lang w:val="en-US" w:eastAsia="zh-CN"/>
        </w:rPr>
        <w:t>1128.6</w:t>
      </w:r>
      <w:r>
        <w:rPr>
          <w:rFonts w:hint="eastAsia" w:ascii="仿宋" w:hAnsi="仿宋" w:eastAsia="仿宋" w:cs="仿宋"/>
          <w:kern w:val="0"/>
          <w:sz w:val="32"/>
          <w:szCs w:val="32"/>
        </w:rPr>
        <w:t>亩，完成任务1</w:t>
      </w:r>
      <w:r>
        <w:rPr>
          <w:rFonts w:hint="eastAsia" w:ascii="仿宋" w:hAnsi="仿宋" w:eastAsia="仿宋" w:cs="仿宋"/>
          <w:kern w:val="0"/>
          <w:sz w:val="32"/>
          <w:szCs w:val="32"/>
          <w:lang w:val="en-US" w:eastAsia="zh-CN"/>
        </w:rPr>
        <w:t>41</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三是加快</w:t>
      </w:r>
      <w:r>
        <w:rPr>
          <w:rFonts w:hint="eastAsia" w:ascii="仿宋" w:hAnsi="仿宋" w:eastAsia="仿宋" w:cs="仿宋"/>
          <w:kern w:val="0"/>
          <w:sz w:val="32"/>
          <w:szCs w:val="32"/>
        </w:rPr>
        <w:t>推进</w:t>
      </w:r>
      <w:r>
        <w:rPr>
          <w:rFonts w:hint="eastAsia" w:ascii="仿宋" w:hAnsi="仿宋" w:eastAsia="仿宋" w:cs="仿宋"/>
          <w:kern w:val="0"/>
          <w:sz w:val="32"/>
          <w:szCs w:val="32"/>
          <w:lang w:eastAsia="zh-CN"/>
        </w:rPr>
        <w:t>设施畜牧业。</w:t>
      </w:r>
      <w:r>
        <w:rPr>
          <w:rFonts w:hint="eastAsia" w:ascii="仿宋" w:hAnsi="仿宋" w:eastAsia="仿宋" w:cs="仿宋"/>
          <w:kern w:val="0"/>
          <w:sz w:val="32"/>
          <w:szCs w:val="32"/>
        </w:rPr>
        <w:t>制定出台《促进半农半牧区肉牛产业发展实施方案（2023—2025年）》、《关于促进半农半牧区肉牛产业高质量发展若干措施》</w:t>
      </w:r>
      <w:r>
        <w:rPr>
          <w:rFonts w:hint="eastAsia" w:ascii="仿宋" w:hAnsi="仿宋" w:eastAsia="仿宋" w:cs="仿宋"/>
          <w:kern w:val="0"/>
          <w:sz w:val="32"/>
          <w:szCs w:val="32"/>
          <w:lang w:eastAsia="zh-CN"/>
        </w:rPr>
        <w:t>，年内，</w:t>
      </w:r>
      <w:r>
        <w:rPr>
          <w:rFonts w:hint="eastAsia" w:ascii="仿宋" w:hAnsi="仿宋" w:eastAsia="仿宋" w:cs="仿宋"/>
          <w:kern w:val="0"/>
          <w:sz w:val="32"/>
          <w:szCs w:val="32"/>
        </w:rPr>
        <w:t>新建养殖企业和合作社25家、家庭牧场450户、人畜分离小区30处，肉牛舍饲圈养存栏</w:t>
      </w:r>
      <w:r>
        <w:rPr>
          <w:rFonts w:hint="eastAsia" w:ascii="仿宋" w:hAnsi="仿宋" w:eastAsia="仿宋" w:cs="仿宋"/>
          <w:kern w:val="0"/>
          <w:sz w:val="32"/>
          <w:szCs w:val="32"/>
          <w:lang w:eastAsia="zh-CN"/>
        </w:rPr>
        <w:t>达</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万头。</w:t>
      </w:r>
      <w:r>
        <w:rPr>
          <w:rFonts w:hint="eastAsia" w:ascii="仿宋" w:hAnsi="仿宋" w:eastAsia="仿宋" w:cs="仿宋"/>
          <w:kern w:val="0"/>
          <w:sz w:val="32"/>
          <w:szCs w:val="32"/>
          <w:lang w:eastAsia="zh-CN"/>
        </w:rPr>
        <w:t>年内创建了</w:t>
      </w:r>
      <w:r>
        <w:rPr>
          <w:rFonts w:hint="eastAsia" w:ascii="仿宋" w:hAnsi="仿宋" w:eastAsia="仿宋" w:cs="仿宋"/>
          <w:kern w:val="0"/>
          <w:sz w:val="32"/>
          <w:szCs w:val="32"/>
        </w:rPr>
        <w:t>77家肉牛肉羊标准化示范场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提升改造81家规模养殖场（户）</w:t>
      </w:r>
      <w:r>
        <w:rPr>
          <w:rFonts w:hint="eastAsia" w:ascii="仿宋" w:hAnsi="仿宋" w:eastAsia="仿宋" w:cs="仿宋"/>
          <w:kern w:val="0"/>
          <w:sz w:val="32"/>
          <w:szCs w:val="32"/>
          <w:lang w:eastAsia="zh-CN"/>
        </w:rPr>
        <w:t>，建成500吨以上防灾减灾饲草储备库2处（阿巴嘎旗、苏尼特左旗）。西苏旗肉羊产业智慧养殖示范项目、黄旗绿色农畜产品肉羊全产业链项目、白旗优质良种肉牛生态养殖基地续建项目、东乌旗生态养殖基地建设项目有序开工建设。四是</w:t>
      </w:r>
      <w:r>
        <w:rPr>
          <w:rFonts w:hint="eastAsia" w:ascii="仿宋" w:hAnsi="仿宋" w:eastAsia="仿宋" w:cs="仿宋"/>
          <w:kern w:val="0"/>
          <w:sz w:val="32"/>
          <w:szCs w:val="32"/>
        </w:rPr>
        <w:t>完善冷链物流基地建设运营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在杭州市建立</w:t>
      </w:r>
      <w:r>
        <w:rPr>
          <w:rFonts w:hint="eastAsia" w:ascii="仿宋" w:hAnsi="仿宋" w:eastAsia="仿宋" w:cs="仿宋"/>
          <w:kern w:val="0"/>
          <w:sz w:val="32"/>
          <w:szCs w:val="32"/>
          <w:lang w:eastAsia="zh-CN"/>
        </w:rPr>
        <w:t>了</w:t>
      </w:r>
      <w:r>
        <w:rPr>
          <w:rFonts w:hint="eastAsia" w:ascii="仿宋" w:hAnsi="仿宋" w:eastAsia="仿宋" w:cs="仿宋"/>
          <w:kern w:val="0"/>
          <w:sz w:val="32"/>
          <w:szCs w:val="32"/>
        </w:rPr>
        <w:t>锡林郭勒羊区域公用品牌（华东）前置仓，为企业提供优惠、高效的冷链运输、配送服务。多伦县</w:t>
      </w:r>
      <w:r>
        <w:rPr>
          <w:rFonts w:hint="eastAsia" w:ascii="仿宋" w:hAnsi="仿宋" w:eastAsia="仿宋" w:cs="仿宋"/>
          <w:kern w:val="0"/>
          <w:sz w:val="32"/>
          <w:szCs w:val="32"/>
          <w:lang w:eastAsia="zh-CN"/>
        </w:rPr>
        <w:t>建成</w:t>
      </w:r>
      <w:r>
        <w:rPr>
          <w:rFonts w:hint="eastAsia" w:ascii="仿宋" w:hAnsi="仿宋" w:eastAsia="仿宋" w:cs="仿宋"/>
          <w:kern w:val="0"/>
          <w:sz w:val="32"/>
          <w:szCs w:val="32"/>
        </w:rPr>
        <w:t>2处农产品产地冷藏保鲜设施</w:t>
      </w:r>
      <w:r>
        <w:rPr>
          <w:rFonts w:hint="eastAsia" w:ascii="仿宋" w:hAnsi="仿宋" w:eastAsia="仿宋" w:cs="仿宋"/>
          <w:kern w:val="0"/>
          <w:sz w:val="32"/>
          <w:szCs w:val="32"/>
          <w:lang w:eastAsia="zh-CN"/>
        </w:rPr>
        <w:t>。</w:t>
      </w:r>
    </w:p>
    <w:p w14:paraId="5B12D329">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lang w:eastAsia="zh-CN"/>
        </w:rPr>
        <w:t>加强农畜供给保障体系建设</w:t>
      </w:r>
    </w:p>
    <w:p w14:paraId="7B10B75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一是夯实</w:t>
      </w:r>
      <w:r>
        <w:rPr>
          <w:rFonts w:hint="eastAsia" w:ascii="仿宋" w:hAnsi="仿宋" w:eastAsia="仿宋" w:cs="仿宋"/>
          <w:kern w:val="0"/>
          <w:sz w:val="32"/>
          <w:szCs w:val="32"/>
        </w:rPr>
        <w:t>粮食产能</w:t>
      </w:r>
      <w:r>
        <w:rPr>
          <w:rFonts w:hint="eastAsia" w:ascii="仿宋" w:hAnsi="仿宋" w:eastAsia="仿宋" w:cs="仿宋"/>
          <w:kern w:val="0"/>
          <w:sz w:val="32"/>
          <w:szCs w:val="32"/>
          <w:lang w:eastAsia="zh-CN"/>
        </w:rPr>
        <w:t>基础。</w:t>
      </w:r>
      <w:r>
        <w:rPr>
          <w:rFonts w:hint="eastAsia" w:ascii="仿宋" w:hAnsi="仿宋" w:eastAsia="仿宋" w:cs="仿宋"/>
          <w:kern w:val="0"/>
          <w:sz w:val="32"/>
          <w:szCs w:val="32"/>
          <w:lang w:val="en-US" w:eastAsia="zh-CN"/>
        </w:rPr>
        <w:t>全盟播种粮食作物280万亩、大豆2.21万亩、油料46.14万亩，分别完成自治区任务的129%、315.7%和100.5%。</w:t>
      </w:r>
      <w:r>
        <w:rPr>
          <w:rFonts w:hint="eastAsia" w:ascii="仿宋" w:hAnsi="仿宋" w:eastAsia="仿宋" w:cs="仿宋"/>
          <w:kern w:val="0"/>
          <w:sz w:val="32"/>
          <w:szCs w:val="32"/>
          <w:lang w:eastAsia="zh-CN"/>
        </w:rPr>
        <w:t>二是提升肉类保障供给能力。</w:t>
      </w:r>
      <w:r>
        <w:rPr>
          <w:rFonts w:hint="eastAsia" w:ascii="仿宋" w:hAnsi="仿宋" w:eastAsia="仿宋" w:cs="仿宋"/>
          <w:kern w:val="0"/>
          <w:sz w:val="32"/>
          <w:szCs w:val="32"/>
          <w:lang w:val="en-US" w:eastAsia="zh-CN"/>
        </w:rPr>
        <w:t>全盟接活仔畜665万头只。2023年牧业年度，全盟肉牛存栏220万头，同比增加8万头；肉羊存栏1100万只，同比增加38万只（舍饲养殖）。</w:t>
      </w:r>
      <w:r>
        <w:rPr>
          <w:rFonts w:hint="eastAsia" w:ascii="仿宋" w:hAnsi="仿宋" w:eastAsia="仿宋" w:cs="仿宋"/>
          <w:kern w:val="0"/>
          <w:sz w:val="32"/>
          <w:szCs w:val="32"/>
          <w:lang w:eastAsia="zh-CN"/>
        </w:rPr>
        <w:t>完成牛冷冻精液配种45万头。完成多伦县2022年中央财政基础母牛扩群提质项目，推进阿巴嘎旗、多伦县（2023年续建）基础母牛扩群提质项目，完成年度任务。三是持续推动奶业振兴。锡林浩特市和正蓝旗已入选自治区奶业整县推进项目候选名单。</w:t>
      </w:r>
      <w:r>
        <w:rPr>
          <w:rFonts w:hint="eastAsia" w:ascii="仿宋" w:hAnsi="仿宋" w:eastAsia="仿宋" w:cs="仿宋"/>
          <w:kern w:val="0"/>
          <w:sz w:val="32"/>
          <w:szCs w:val="32"/>
        </w:rPr>
        <w:t>正蓝旗3000头规模奶牛养殖场</w:t>
      </w:r>
      <w:r>
        <w:rPr>
          <w:rFonts w:hint="eastAsia" w:ascii="仿宋" w:hAnsi="仿宋" w:eastAsia="仿宋" w:cs="仿宋"/>
          <w:kern w:val="0"/>
          <w:sz w:val="32"/>
          <w:szCs w:val="32"/>
          <w:lang w:eastAsia="zh-CN"/>
        </w:rPr>
        <w:t>已完成“三通一平”</w:t>
      </w:r>
      <w:r>
        <w:rPr>
          <w:rFonts w:hint="eastAsia" w:ascii="仿宋" w:hAnsi="仿宋" w:eastAsia="仿宋" w:cs="仿宋"/>
          <w:kern w:val="0"/>
          <w:sz w:val="32"/>
          <w:szCs w:val="32"/>
        </w:rPr>
        <w:t>。扶持12家地方特色乳制品小作坊提档升级为QS认证企业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实施地方特色奶制品小作坊改造项目50</w:t>
      </w:r>
      <w:r>
        <w:rPr>
          <w:rFonts w:hint="eastAsia" w:ascii="仿宋" w:hAnsi="仿宋" w:eastAsia="仿宋" w:cs="仿宋"/>
          <w:kern w:val="0"/>
          <w:sz w:val="32"/>
          <w:szCs w:val="32"/>
          <w:lang w:eastAsia="zh-CN"/>
        </w:rPr>
        <w:t>家</w:t>
      </w:r>
      <w:r>
        <w:rPr>
          <w:rFonts w:hint="eastAsia" w:ascii="仿宋" w:hAnsi="仿宋" w:eastAsia="仿宋" w:cs="仿宋"/>
          <w:kern w:val="0"/>
          <w:sz w:val="32"/>
          <w:szCs w:val="32"/>
          <w:lang w:val="en-US" w:eastAsia="zh-CN"/>
        </w:rPr>
        <w:t>，种植苜蓿16720亩，完成任务的123.8%。</w:t>
      </w:r>
      <w:r>
        <w:rPr>
          <w:rFonts w:hint="eastAsia" w:ascii="仿宋" w:hAnsi="仿宋" w:eastAsia="仿宋" w:cs="仿宋"/>
          <w:kern w:val="0"/>
          <w:sz w:val="32"/>
          <w:szCs w:val="32"/>
          <w:lang w:eastAsia="zh-CN"/>
        </w:rPr>
        <w:t>全盟奶畜存栏</w:t>
      </w:r>
      <w:r>
        <w:rPr>
          <w:rFonts w:hint="eastAsia" w:ascii="仿宋" w:hAnsi="仿宋" w:eastAsia="仿宋" w:cs="仿宋"/>
          <w:kern w:val="0"/>
          <w:sz w:val="32"/>
          <w:szCs w:val="32"/>
          <w:lang w:val="en-US" w:eastAsia="zh-CN"/>
        </w:rPr>
        <w:t>29.03</w:t>
      </w:r>
      <w:r>
        <w:rPr>
          <w:rFonts w:hint="eastAsia" w:ascii="仿宋" w:hAnsi="仿宋" w:eastAsia="仿宋" w:cs="仿宋"/>
          <w:kern w:val="0"/>
          <w:sz w:val="32"/>
          <w:szCs w:val="32"/>
          <w:lang w:eastAsia="zh-CN"/>
        </w:rPr>
        <w:t>万头，奶产量达到</w:t>
      </w:r>
      <w:r>
        <w:rPr>
          <w:rFonts w:hint="eastAsia" w:ascii="仿宋" w:hAnsi="仿宋" w:eastAsia="仿宋" w:cs="仿宋"/>
          <w:kern w:val="0"/>
          <w:sz w:val="32"/>
          <w:szCs w:val="32"/>
          <w:lang w:val="en-US" w:eastAsia="zh-CN"/>
        </w:rPr>
        <w:t>57</w:t>
      </w:r>
      <w:r>
        <w:rPr>
          <w:rFonts w:hint="eastAsia" w:ascii="仿宋" w:hAnsi="仿宋" w:eastAsia="仿宋" w:cs="仿宋"/>
          <w:kern w:val="0"/>
          <w:sz w:val="32"/>
          <w:szCs w:val="32"/>
          <w:lang w:eastAsia="zh-CN"/>
        </w:rPr>
        <w:t>万吨</w:t>
      </w:r>
      <w:r>
        <w:rPr>
          <w:rFonts w:hint="eastAsia" w:ascii="仿宋" w:hAnsi="仿宋" w:eastAsia="仿宋" w:cs="仿宋"/>
          <w:kern w:val="0"/>
          <w:sz w:val="32"/>
          <w:szCs w:val="32"/>
          <w:lang w:val="en-US" w:eastAsia="zh-CN"/>
        </w:rPr>
        <w:t>。四是加快推进</w:t>
      </w:r>
      <w:r>
        <w:rPr>
          <w:rFonts w:hint="eastAsia" w:ascii="仿宋" w:hAnsi="仿宋" w:eastAsia="仿宋" w:cs="仿宋"/>
          <w:kern w:val="0"/>
          <w:sz w:val="32"/>
          <w:szCs w:val="32"/>
          <w:lang w:eastAsia="zh-CN"/>
        </w:rPr>
        <w:t>饲草产业发展。天然牧草产量保持在20亿公斤以上，人工饲草种植面积稳定在</w:t>
      </w:r>
      <w:r>
        <w:rPr>
          <w:rFonts w:hint="eastAsia" w:ascii="仿宋" w:hAnsi="仿宋" w:eastAsia="仿宋" w:cs="仿宋"/>
          <w:kern w:val="0"/>
          <w:sz w:val="32"/>
          <w:szCs w:val="32"/>
          <w:lang w:val="en-US" w:eastAsia="zh-CN"/>
        </w:rPr>
        <w:t>112</w:t>
      </w:r>
      <w:r>
        <w:rPr>
          <w:rFonts w:hint="eastAsia" w:ascii="仿宋" w:hAnsi="仿宋" w:eastAsia="仿宋" w:cs="仿宋"/>
          <w:kern w:val="0"/>
          <w:sz w:val="32"/>
          <w:szCs w:val="32"/>
          <w:lang w:eastAsia="zh-CN"/>
        </w:rPr>
        <w:t>万亩，其中青贮玉米74.</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万亩、苜蓿7.5万亩、燕麦26.1万亩，羊草4.35万亩。完成粮改饲试点任务20万亩、优质饲草收储任务50万吨。</w:t>
      </w:r>
    </w:p>
    <w:p w14:paraId="1021A526">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lang w:eastAsia="zh-CN"/>
        </w:rPr>
        <w:t>加快推进全产业链融合发展</w:t>
      </w:r>
    </w:p>
    <w:p w14:paraId="51B7AC5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一是打造若干特色鲜明的优势产业带。制定印发《锡林郭勒盟优势特色产业集群建设三年行动方案》《锡林郭勒盟2023年内蒙古阴山马铃薯产业集群项目工作推进方案》《地方特色乳制品产业发展工作方案》《关于促进地方特色乳制品产业高质量发展若干政策措施》，预计肉牛全产业链产值达到110亿元，肉羊全产业链产值达到175亿元，奶业全产业链产值达到50亿元，马铃薯全产业链产值达到45亿元。太仆寺旗、多伦县列入内蒙古阴山马铃薯优势特色产业集群建设支持范围，分别获中央财政建设资金1000万元。二是延伸农牧业产业链、提高附加值。全盟屠宰加工肉羊415万只羊，</w:t>
      </w:r>
      <w:r>
        <w:rPr>
          <w:rFonts w:hint="eastAsia" w:ascii="仿宋" w:hAnsi="仿宋" w:eastAsia="仿宋" w:cs="仿宋"/>
          <w:kern w:val="0"/>
          <w:sz w:val="32"/>
          <w:szCs w:val="32"/>
        </w:rPr>
        <w:t>主要农畜产品加工转化率达到74%，精深加工率达到80%</w:t>
      </w:r>
      <w:r>
        <w:rPr>
          <w:rFonts w:hint="eastAsia" w:ascii="仿宋" w:hAnsi="仿宋" w:eastAsia="仿宋" w:cs="仿宋"/>
          <w:kern w:val="0"/>
          <w:sz w:val="32"/>
          <w:szCs w:val="32"/>
          <w:lang w:eastAsia="zh-CN"/>
        </w:rPr>
        <w:t>，羊皮、羊尾脂等副产品综合利用率达85%。三是加大</w:t>
      </w:r>
      <w:r>
        <w:rPr>
          <w:rFonts w:hint="eastAsia" w:ascii="仿宋" w:hAnsi="仿宋" w:eastAsia="仿宋" w:cs="仿宋"/>
          <w:kern w:val="0"/>
          <w:sz w:val="32"/>
          <w:szCs w:val="32"/>
        </w:rPr>
        <w:t>招商引资力度</w:t>
      </w:r>
      <w:r>
        <w:rPr>
          <w:rFonts w:hint="eastAsia" w:ascii="仿宋" w:hAnsi="仿宋" w:eastAsia="仿宋" w:cs="仿宋"/>
          <w:kern w:val="0"/>
          <w:sz w:val="32"/>
          <w:szCs w:val="32"/>
          <w:lang w:eastAsia="zh-CN"/>
        </w:rPr>
        <w:t>。制定了绿色农畜产品生产加工产业链“两图两表两库”，</w:t>
      </w:r>
      <w:r>
        <w:rPr>
          <w:rFonts w:hint="eastAsia" w:ascii="仿宋" w:hAnsi="仿宋" w:eastAsia="仿宋" w:cs="仿宋"/>
          <w:kern w:val="0"/>
          <w:sz w:val="32"/>
          <w:szCs w:val="32"/>
        </w:rPr>
        <w:t>外出招商</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次，</w:t>
      </w:r>
      <w:r>
        <w:rPr>
          <w:rFonts w:hint="eastAsia" w:ascii="仿宋" w:hAnsi="仿宋" w:eastAsia="仿宋" w:cs="仿宋"/>
          <w:kern w:val="0"/>
          <w:sz w:val="32"/>
          <w:szCs w:val="32"/>
          <w:lang w:eastAsia="zh-CN"/>
        </w:rPr>
        <w:t>落</w:t>
      </w:r>
      <w:r>
        <w:rPr>
          <w:rFonts w:hint="eastAsia" w:ascii="仿宋" w:hAnsi="仿宋" w:eastAsia="仿宋" w:cs="仿宋"/>
          <w:kern w:val="0"/>
          <w:sz w:val="32"/>
          <w:szCs w:val="32"/>
        </w:rPr>
        <w:t>地</w:t>
      </w:r>
      <w:r>
        <w:rPr>
          <w:rFonts w:hint="eastAsia" w:ascii="仿宋" w:hAnsi="仿宋" w:eastAsia="仿宋" w:cs="仿宋"/>
          <w:kern w:val="0"/>
          <w:sz w:val="32"/>
          <w:szCs w:val="32"/>
          <w:lang w:val="en-US" w:eastAsia="zh-CN"/>
        </w:rPr>
        <w:t>开工24</w:t>
      </w:r>
      <w:r>
        <w:rPr>
          <w:rFonts w:hint="eastAsia" w:ascii="仿宋" w:hAnsi="仿宋" w:eastAsia="仿宋" w:cs="仿宋"/>
          <w:kern w:val="0"/>
          <w:sz w:val="32"/>
          <w:szCs w:val="32"/>
        </w:rPr>
        <w:t>个</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投资</w:t>
      </w:r>
      <w:r>
        <w:rPr>
          <w:rFonts w:hint="eastAsia" w:ascii="仿宋" w:hAnsi="仿宋" w:eastAsia="仿宋" w:cs="仿宋"/>
          <w:kern w:val="0"/>
          <w:sz w:val="32"/>
          <w:szCs w:val="32"/>
          <w:lang w:val="en-US" w:eastAsia="zh-CN"/>
        </w:rPr>
        <w:t>37.218</w:t>
      </w:r>
      <w:r>
        <w:rPr>
          <w:rFonts w:hint="eastAsia" w:ascii="仿宋" w:hAnsi="仿宋" w:eastAsia="仿宋" w:cs="仿宋"/>
          <w:kern w:val="0"/>
          <w:sz w:val="32"/>
          <w:szCs w:val="32"/>
        </w:rPr>
        <w:t>亿元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对接项目</w:t>
      </w:r>
      <w:r>
        <w:rPr>
          <w:rFonts w:hint="eastAsia" w:ascii="仿宋" w:hAnsi="仿宋" w:eastAsia="仿宋" w:cs="仿宋"/>
          <w:kern w:val="0"/>
          <w:sz w:val="32"/>
          <w:szCs w:val="32"/>
          <w:lang w:val="en-US" w:eastAsia="zh-CN"/>
        </w:rPr>
        <w:t>26</w:t>
      </w:r>
      <w:r>
        <w:rPr>
          <w:rFonts w:hint="eastAsia" w:ascii="仿宋" w:hAnsi="仿宋" w:eastAsia="仿宋" w:cs="仿宋"/>
          <w:kern w:val="0"/>
          <w:sz w:val="32"/>
          <w:szCs w:val="32"/>
        </w:rPr>
        <w:t>个</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预计投资</w:t>
      </w:r>
      <w:r>
        <w:rPr>
          <w:rFonts w:hint="eastAsia" w:ascii="仿宋" w:hAnsi="仿宋" w:eastAsia="仿宋" w:cs="仿宋"/>
          <w:kern w:val="0"/>
          <w:sz w:val="32"/>
          <w:szCs w:val="32"/>
          <w:lang w:val="en-US" w:eastAsia="zh-CN"/>
        </w:rPr>
        <w:t>71.12</w:t>
      </w:r>
      <w:r>
        <w:rPr>
          <w:rFonts w:hint="eastAsia" w:ascii="仿宋" w:hAnsi="仿宋" w:eastAsia="仿宋" w:cs="仿宋"/>
          <w:kern w:val="0"/>
          <w:sz w:val="32"/>
          <w:szCs w:val="32"/>
        </w:rPr>
        <w:t>亿元</w:t>
      </w:r>
      <w:r>
        <w:rPr>
          <w:rFonts w:hint="eastAsia" w:ascii="仿宋" w:hAnsi="仿宋" w:eastAsia="仿宋" w:cs="仿宋"/>
          <w:kern w:val="0"/>
          <w:sz w:val="32"/>
          <w:szCs w:val="32"/>
          <w:lang w:eastAsia="zh-CN"/>
        </w:rPr>
        <w:t>。四是加强</w:t>
      </w:r>
      <w:r>
        <w:rPr>
          <w:rFonts w:hint="eastAsia" w:ascii="仿宋" w:hAnsi="仿宋" w:eastAsia="仿宋" w:cs="仿宋"/>
          <w:kern w:val="0"/>
          <w:sz w:val="32"/>
          <w:szCs w:val="32"/>
        </w:rPr>
        <w:t>品牌建设</w:t>
      </w:r>
      <w:r>
        <w:rPr>
          <w:rFonts w:hint="eastAsia" w:ascii="仿宋" w:hAnsi="仿宋" w:eastAsia="仿宋" w:cs="仿宋"/>
          <w:kern w:val="0"/>
          <w:sz w:val="32"/>
          <w:szCs w:val="32"/>
          <w:lang w:eastAsia="zh-CN"/>
        </w:rPr>
        <w:t>。动态调整锡林郭勒羊区域公用品牌授权企业，</w:t>
      </w:r>
      <w:r>
        <w:rPr>
          <w:rFonts w:hint="eastAsia" w:ascii="仿宋" w:hAnsi="仿宋" w:eastAsia="仿宋" w:cs="仿宋"/>
          <w:kern w:val="0"/>
          <w:sz w:val="32"/>
          <w:szCs w:val="32"/>
        </w:rPr>
        <w:t>新增授权企业2家，累计达到6家</w:t>
      </w:r>
      <w:r>
        <w:rPr>
          <w:rFonts w:hint="eastAsia" w:ascii="仿宋" w:hAnsi="仿宋" w:eastAsia="仿宋" w:cs="仿宋"/>
          <w:kern w:val="0"/>
          <w:sz w:val="32"/>
          <w:szCs w:val="32"/>
          <w:lang w:eastAsia="zh-CN"/>
        </w:rPr>
        <w:t>。推行锡林郭勒奶酪区域公用品牌常态化授权使用机制，品牌授权经营主体达到</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lang w:eastAsia="zh-CN"/>
        </w:rPr>
        <w:t>家，</w:t>
      </w:r>
      <w:r>
        <w:rPr>
          <w:rFonts w:hint="eastAsia" w:ascii="仿宋" w:hAnsi="仿宋" w:eastAsia="仿宋" w:cs="仿宋"/>
          <w:kern w:val="0"/>
          <w:sz w:val="32"/>
          <w:szCs w:val="32"/>
        </w:rPr>
        <w:t>授权经营主体已全部接入追溯防伪系统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成功举办锡林郭勒奶酪区域公用品牌发布会暨品牌旗舰店开业仪式。</w:t>
      </w:r>
      <w:r>
        <w:rPr>
          <w:rFonts w:hint="eastAsia" w:ascii="仿宋" w:hAnsi="仿宋" w:eastAsia="仿宋" w:cs="仿宋"/>
          <w:kern w:val="0"/>
          <w:sz w:val="32"/>
          <w:szCs w:val="32"/>
          <w:lang w:val="en-US" w:eastAsia="zh-CN"/>
        </w:rPr>
        <w:t>呼市锡林郭勒奶酪区域公用品牌旗舰店和8家锡林郭勒奶酪品牌授权门店已投入运营。</w:t>
      </w:r>
      <w:r>
        <w:rPr>
          <w:rFonts w:hint="eastAsia" w:ascii="仿宋" w:hAnsi="仿宋" w:eastAsia="仿宋" w:cs="仿宋"/>
          <w:kern w:val="0"/>
          <w:sz w:val="32"/>
          <w:szCs w:val="32"/>
          <w:lang w:eastAsia="zh-CN"/>
        </w:rPr>
        <w:t>在内蒙古卫视黄金时段，首都、首府机场、地铁、高速公路、城市LED屏，北京市万达、凯德、华联、银座等重点部位投放品牌广告。组织多家企业参加各类农交会、订货会、博览会、产销对接会等，推介锡林郭勒羊和锡林郭勒奶酪，提高锡林郭勒农畜产品知名度和影响力。积极拓展网络新零售渠道，</w:t>
      </w:r>
      <w:r>
        <w:rPr>
          <w:rFonts w:hint="eastAsia" w:ascii="仿宋" w:hAnsi="仿宋" w:eastAsia="仿宋" w:cs="仿宋"/>
          <w:kern w:val="0"/>
          <w:sz w:val="32"/>
          <w:szCs w:val="32"/>
          <w:lang w:val="en-US" w:eastAsia="zh-CN"/>
        </w:rPr>
        <w:t>成功举办东方甄选锡林郭勒专场直播活动和乌拉盖东方甄选内蒙古行活动，助推锡盟特色农畜产品线上销售。中石油已与部分锡林郭勒羊、锡林郭勒奶酪品牌授权企业达成产品供销合作，借助中石油销售渠道将区域公用品牌及产品推向全国。</w:t>
      </w:r>
      <w:r>
        <w:rPr>
          <w:rFonts w:hint="eastAsia" w:ascii="仿宋" w:hAnsi="仿宋" w:eastAsia="仿宋" w:cs="仿宋"/>
          <w:kern w:val="0"/>
          <w:sz w:val="32"/>
          <w:szCs w:val="32"/>
          <w:lang w:eastAsia="zh-CN"/>
        </w:rPr>
        <w:t>五是</w:t>
      </w:r>
      <w:r>
        <w:rPr>
          <w:rFonts w:hint="eastAsia" w:ascii="仿宋" w:hAnsi="仿宋" w:eastAsia="仿宋" w:cs="仿宋"/>
          <w:kern w:val="0"/>
          <w:sz w:val="32"/>
          <w:szCs w:val="32"/>
        </w:rPr>
        <w:t>制定出台了《锡林郭勒盟肉牛肉羊龙头企业助保贷引导资金管理实施方案》、《锡林郭勒盟2023年“抗旱</w:t>
      </w:r>
      <w:r>
        <w:rPr>
          <w:rFonts w:hint="eastAsia" w:ascii="仿宋" w:hAnsi="仿宋" w:eastAsia="仿宋" w:cs="仿宋"/>
          <w:kern w:val="0"/>
          <w:sz w:val="32"/>
          <w:szCs w:val="32"/>
          <w:lang w:eastAsia="zh-CN"/>
        </w:rPr>
        <w:t>宝</w:t>
      </w:r>
      <w:r>
        <w:rPr>
          <w:rFonts w:hint="eastAsia" w:ascii="仿宋" w:hAnsi="仿宋" w:eastAsia="仿宋" w:cs="仿宋"/>
          <w:kern w:val="0"/>
          <w:sz w:val="32"/>
          <w:szCs w:val="32"/>
        </w:rPr>
        <w:t>”引导资金管理实施方案》，解决加工企业融资难和融资贵的问题。</w:t>
      </w:r>
      <w:r>
        <w:rPr>
          <w:rFonts w:hint="eastAsia" w:ascii="仿宋" w:hAnsi="仿宋" w:eastAsia="仿宋" w:cs="仿宋"/>
          <w:kern w:val="0"/>
          <w:sz w:val="32"/>
          <w:szCs w:val="32"/>
          <w:lang w:eastAsia="zh-CN"/>
        </w:rPr>
        <w:t>截至目前，</w:t>
      </w:r>
      <w:r>
        <w:rPr>
          <w:rFonts w:hint="eastAsia" w:ascii="仿宋" w:hAnsi="仿宋" w:eastAsia="仿宋" w:cs="仿宋"/>
          <w:kern w:val="0"/>
          <w:sz w:val="32"/>
          <w:szCs w:val="32"/>
        </w:rPr>
        <w:t>以抗旱保形式发放贷款</w:t>
      </w:r>
      <w:r>
        <w:rPr>
          <w:rFonts w:hint="eastAsia" w:ascii="仿宋" w:hAnsi="仿宋" w:eastAsia="仿宋" w:cs="仿宋"/>
          <w:kern w:val="0"/>
          <w:sz w:val="32"/>
          <w:szCs w:val="32"/>
          <w:lang w:val="en-US" w:eastAsia="zh-CN"/>
        </w:rPr>
        <w:t>7485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助保贷款已发放</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lang w:eastAsia="zh-CN"/>
        </w:rPr>
        <w:t>亿</w:t>
      </w:r>
      <w:r>
        <w:rPr>
          <w:rFonts w:hint="eastAsia" w:ascii="仿宋" w:hAnsi="仿宋" w:eastAsia="仿宋" w:cs="仿宋"/>
          <w:kern w:val="0"/>
          <w:sz w:val="32"/>
          <w:szCs w:val="32"/>
        </w:rPr>
        <w:t>元。</w:t>
      </w:r>
    </w:p>
    <w:p w14:paraId="176C1EF0">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lang w:eastAsia="zh-CN"/>
        </w:rPr>
        <w:t>加强农牧业科技装备支撑体系</w:t>
      </w:r>
    </w:p>
    <w:p w14:paraId="37D4D0C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一是编写全盟畜禽种质资源保护状况报告，采集制作畜禽遗传2.3万份。支持华西牛种源基地建设，乌拉盖华西牛种牛站已完成基础设施建设</w:t>
      </w:r>
      <w:r>
        <w:rPr>
          <w:rFonts w:hint="eastAsia" w:ascii="仿宋" w:hAnsi="仿宋" w:eastAsia="仿宋" w:cs="仿宋"/>
          <w:kern w:val="0"/>
          <w:sz w:val="32"/>
          <w:szCs w:val="32"/>
          <w:lang w:val="en-US" w:eastAsia="zh-CN"/>
        </w:rPr>
        <w:t>，完成年度任务。</w:t>
      </w:r>
      <w:r>
        <w:rPr>
          <w:rFonts w:hint="eastAsia" w:ascii="仿宋" w:hAnsi="仿宋" w:eastAsia="仿宋" w:cs="仿宋"/>
          <w:kern w:val="0"/>
          <w:sz w:val="32"/>
          <w:szCs w:val="32"/>
          <w:lang w:eastAsia="zh-CN"/>
        </w:rPr>
        <w:t>乌拉盖管理区内蒙古色也勒钦畜牧业科技服务有限公司认定为国家级华西牛核心育种场。乌拉盖牧场有限公司、多伦县盛祥养殖专业合作社、乌拉盖鸿兴农牧业有限公司认定为盟级华西牛种牛场。继续扩大华西牛育种群规模，</w:t>
      </w:r>
      <w:r>
        <w:rPr>
          <w:rFonts w:hint="eastAsia" w:ascii="仿宋" w:hAnsi="仿宋" w:eastAsia="仿宋" w:cs="仿宋"/>
          <w:kern w:val="0"/>
          <w:sz w:val="32"/>
          <w:szCs w:val="32"/>
          <w:lang w:val="en-US" w:eastAsia="zh-CN"/>
        </w:rPr>
        <w:t>华西牛育种群规模新增49户2407头，累计达到91户1.5万头，采购华西牛冻精10万剂。全盟遴选25户华西牛示范户和56户华西牛核心群。</w:t>
      </w:r>
      <w:r>
        <w:rPr>
          <w:rFonts w:hint="eastAsia" w:ascii="仿宋" w:hAnsi="仿宋" w:eastAsia="仿宋" w:cs="仿宋"/>
          <w:kern w:val="0"/>
          <w:sz w:val="32"/>
          <w:szCs w:val="32"/>
          <w:lang w:eastAsia="zh-CN"/>
        </w:rPr>
        <w:t>成功举办全国第4届种公牛拍卖会、第18届全盟赛畜会和“中国首届华西牛种业高峰论坛”。内蒙古坤元太和农业科技有限公司3个新品种已完成DUS测试，全盟建成良种繁育基地5万亩。二是加强农牧业创新工作。</w:t>
      </w:r>
      <w:r>
        <w:rPr>
          <w:rFonts w:hint="eastAsia" w:ascii="仿宋" w:hAnsi="仿宋" w:eastAsia="仿宋" w:cs="仿宋"/>
          <w:kern w:val="0"/>
          <w:sz w:val="32"/>
          <w:szCs w:val="32"/>
        </w:rPr>
        <w:t>落实中央、自治区2023年农机购置与应用补贴</w:t>
      </w:r>
      <w:r>
        <w:rPr>
          <w:rFonts w:hint="eastAsia" w:ascii="仿宋" w:hAnsi="仿宋" w:eastAsia="仿宋" w:cs="仿宋"/>
          <w:kern w:val="0"/>
          <w:sz w:val="32"/>
          <w:szCs w:val="32"/>
          <w:lang w:val="en-US" w:eastAsia="zh-CN"/>
        </w:rPr>
        <w:t>6813万元，共办理补贴机具5500台/套，受益户3609户，清粪小型装载机盟级补贴共1333台。自治区下达的21.6万亩耕地深松任务全部完成，争取到锡林浩特市白音锡勒牧场国家数字种植业创新应用基地建设项目。</w:t>
      </w:r>
      <w:r>
        <w:rPr>
          <w:rFonts w:hint="eastAsia" w:ascii="仿宋" w:hAnsi="仿宋" w:eastAsia="仿宋" w:cs="仿宋"/>
          <w:kern w:val="0"/>
          <w:sz w:val="32"/>
          <w:szCs w:val="32"/>
          <w:lang w:eastAsia="zh-CN"/>
        </w:rPr>
        <w:t>全盟农作物耕种收综合机械化率达到92%，畜牧养殖机械化率达到49%以上。三是完成高素质农牧民培育</w:t>
      </w:r>
      <w:r>
        <w:rPr>
          <w:rFonts w:hint="eastAsia" w:ascii="仿宋" w:hAnsi="仿宋" w:eastAsia="仿宋" w:cs="仿宋"/>
          <w:kern w:val="0"/>
          <w:sz w:val="32"/>
          <w:szCs w:val="32"/>
          <w:lang w:val="en-US" w:eastAsia="zh-CN"/>
        </w:rPr>
        <w:t>2160</w:t>
      </w:r>
      <w:r>
        <w:rPr>
          <w:rFonts w:hint="eastAsia" w:ascii="仿宋" w:hAnsi="仿宋" w:eastAsia="仿宋" w:cs="仿宋"/>
          <w:kern w:val="0"/>
          <w:sz w:val="32"/>
          <w:szCs w:val="32"/>
          <w:lang w:eastAsia="zh-CN"/>
        </w:rPr>
        <w:t>人，乡村产业振兴带头人（头雁）培训</w:t>
      </w:r>
      <w:r>
        <w:rPr>
          <w:rFonts w:hint="eastAsia" w:ascii="仿宋" w:hAnsi="仿宋" w:eastAsia="仿宋" w:cs="仿宋"/>
          <w:kern w:val="0"/>
          <w:sz w:val="32"/>
          <w:szCs w:val="32"/>
          <w:lang w:val="en-US" w:eastAsia="zh-CN"/>
        </w:rPr>
        <w:t>55</w:t>
      </w:r>
      <w:r>
        <w:rPr>
          <w:rFonts w:hint="eastAsia" w:ascii="仿宋" w:hAnsi="仿宋" w:eastAsia="仿宋" w:cs="仿宋"/>
          <w:kern w:val="0"/>
          <w:sz w:val="32"/>
          <w:szCs w:val="32"/>
          <w:lang w:eastAsia="zh-CN"/>
        </w:rPr>
        <w:t>人，均超额完成任务，新增10个土地经营权流转服务站点。</w:t>
      </w:r>
    </w:p>
    <w:p w14:paraId="42781B1F">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（五）</w:t>
      </w:r>
      <w:r>
        <w:rPr>
          <w:rFonts w:hint="eastAsia" w:ascii="仿宋" w:hAnsi="仿宋" w:eastAsia="仿宋" w:cs="仿宋"/>
          <w:b/>
          <w:bCs/>
          <w:kern w:val="0"/>
          <w:sz w:val="32"/>
          <w:szCs w:val="32"/>
          <w:lang w:eastAsia="zh-CN"/>
        </w:rPr>
        <w:t>积极构建新型农牧业经营体系</w:t>
      </w:r>
    </w:p>
    <w:p w14:paraId="38A73A8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一是持续做大做强龙头企业。今年新认定自治区农牧业产业化龙头企业17家，盟级龙头企业</w:t>
      </w:r>
      <w:r>
        <w:rPr>
          <w:rFonts w:hint="eastAsia" w:ascii="仿宋" w:hAnsi="仿宋" w:eastAsia="仿宋" w:cs="仿宋"/>
          <w:kern w:val="0"/>
          <w:sz w:val="32"/>
          <w:szCs w:val="32"/>
          <w:lang w:val="en-US" w:eastAsia="zh-CN"/>
        </w:rPr>
        <w:t>23家，</w:t>
      </w:r>
      <w:r>
        <w:rPr>
          <w:rFonts w:hint="eastAsia" w:ascii="仿宋" w:hAnsi="仿宋" w:eastAsia="仿宋" w:cs="仿宋"/>
          <w:kern w:val="0"/>
          <w:sz w:val="32"/>
          <w:szCs w:val="32"/>
          <w:lang w:eastAsia="zh-CN"/>
        </w:rPr>
        <w:t>全盟累计达到</w:t>
      </w:r>
      <w:r>
        <w:rPr>
          <w:rFonts w:hint="eastAsia" w:ascii="仿宋" w:hAnsi="仿宋" w:eastAsia="仿宋" w:cs="仿宋"/>
          <w:kern w:val="0"/>
          <w:sz w:val="32"/>
          <w:szCs w:val="32"/>
          <w:lang w:val="en-US" w:eastAsia="zh-CN"/>
        </w:rPr>
        <w:t>134</w:t>
      </w:r>
      <w:r>
        <w:rPr>
          <w:rFonts w:hint="eastAsia" w:ascii="仿宋" w:hAnsi="仿宋" w:eastAsia="仿宋" w:cs="仿宋"/>
          <w:kern w:val="0"/>
          <w:sz w:val="32"/>
          <w:szCs w:val="32"/>
          <w:lang w:eastAsia="zh-CN"/>
        </w:rPr>
        <w:t>家（其中国家级5家、自治区级67家、盟级</w:t>
      </w:r>
      <w:r>
        <w:rPr>
          <w:rFonts w:hint="eastAsia" w:ascii="仿宋" w:hAnsi="仿宋" w:eastAsia="仿宋" w:cs="仿宋"/>
          <w:kern w:val="0"/>
          <w:sz w:val="32"/>
          <w:szCs w:val="32"/>
          <w:lang w:val="en-US" w:eastAsia="zh-CN"/>
        </w:rPr>
        <w:t>62</w:t>
      </w:r>
      <w:r>
        <w:rPr>
          <w:rFonts w:hint="eastAsia" w:ascii="仿宋" w:hAnsi="仿宋" w:eastAsia="仿宋" w:cs="仿宋"/>
          <w:kern w:val="0"/>
          <w:sz w:val="32"/>
          <w:szCs w:val="32"/>
          <w:lang w:eastAsia="zh-CN"/>
        </w:rPr>
        <w:t>家）。二是评定示范社40家（其中我盟14家合作社被评为自治区级示范社），评定示范家庭农牧场100家（其中我盟20家家庭农牧场被评为自治区级家庭农牧场），推荐自治区级农牧业产业化联合体9个，认定盟级农牧业产业化联合体8个，农企利益联结比例、紧密型比例分别达到89%和64%。完成社会化服务面积12万亩以上。三是</w:t>
      </w:r>
      <w:r>
        <w:rPr>
          <w:rFonts w:hint="eastAsia" w:ascii="仿宋" w:hAnsi="仿宋" w:eastAsia="仿宋" w:cs="仿宋"/>
          <w:kern w:val="0"/>
          <w:sz w:val="32"/>
          <w:szCs w:val="32"/>
        </w:rPr>
        <w:t>强化兽医社会化服务体系建设，在阿巴嘎旗、东乌珠穆沁旗、西乌珠穆沁旗、苏尼特左旗开展兽医社会化服务整县推进工作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全盟从事农牧领域生产服务社会化主体达276</w:t>
      </w:r>
      <w:r>
        <w:rPr>
          <w:rFonts w:hint="eastAsia" w:ascii="仿宋" w:hAnsi="仿宋" w:eastAsia="仿宋" w:cs="仿宋"/>
          <w:kern w:val="0"/>
          <w:sz w:val="32"/>
          <w:szCs w:val="32"/>
          <w:lang w:eastAsia="zh-CN"/>
        </w:rPr>
        <w:t>个</w:t>
      </w:r>
      <w:r>
        <w:rPr>
          <w:rFonts w:hint="eastAsia" w:ascii="仿宋" w:hAnsi="仿宋" w:eastAsia="仿宋" w:cs="仿宋"/>
          <w:kern w:val="0"/>
          <w:sz w:val="32"/>
          <w:szCs w:val="32"/>
        </w:rPr>
        <w:t>。</w:t>
      </w:r>
    </w:p>
    <w:p w14:paraId="39974163">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（六）</w:t>
      </w:r>
      <w:r>
        <w:rPr>
          <w:rFonts w:hint="eastAsia" w:ascii="仿宋" w:hAnsi="仿宋" w:eastAsia="仿宋" w:cs="仿宋"/>
          <w:b/>
          <w:bCs/>
          <w:kern w:val="0"/>
          <w:sz w:val="32"/>
          <w:szCs w:val="32"/>
          <w:lang w:eastAsia="zh-CN"/>
        </w:rPr>
        <w:t>推动农牧业绿色发展</w:t>
      </w:r>
    </w:p>
    <w:p w14:paraId="2FBA28D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w:t>
      </w:r>
      <w:r>
        <w:rPr>
          <w:rFonts w:hint="eastAsia" w:ascii="仿宋" w:hAnsi="仿宋" w:eastAsia="仿宋" w:cs="仿宋"/>
          <w:kern w:val="0"/>
          <w:sz w:val="32"/>
          <w:szCs w:val="32"/>
        </w:rPr>
        <w:t>大力发展节水高效农业</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新增高效节水灌溉工程面积2万亩，新增水肥一体化推广面积2万亩，推广抗旱品种150万亩</w:t>
      </w:r>
      <w:r>
        <w:rPr>
          <w:rFonts w:hint="eastAsia" w:ascii="仿宋" w:hAnsi="仿宋" w:eastAsia="仿宋" w:cs="仿宋"/>
          <w:kern w:val="0"/>
          <w:sz w:val="32"/>
          <w:szCs w:val="32"/>
          <w:lang w:eastAsia="zh-CN"/>
        </w:rPr>
        <w:t>。二是</w:t>
      </w:r>
      <w:r>
        <w:rPr>
          <w:rFonts w:hint="eastAsia" w:ascii="仿宋" w:hAnsi="仿宋" w:eastAsia="仿宋" w:cs="仿宋"/>
          <w:kern w:val="0"/>
          <w:sz w:val="32"/>
          <w:szCs w:val="32"/>
        </w:rPr>
        <w:t>积极发展生态畜牧业。全盟2.2亿亩草原</w:t>
      </w:r>
      <w:r>
        <w:rPr>
          <w:rFonts w:hint="eastAsia" w:ascii="仿宋" w:hAnsi="仿宋" w:eastAsia="仿宋" w:cs="仿宋"/>
          <w:kern w:val="0"/>
          <w:sz w:val="32"/>
          <w:szCs w:val="32"/>
          <w:lang w:eastAsia="zh-CN"/>
        </w:rPr>
        <w:t>实施了</w:t>
      </w:r>
      <w:r>
        <w:rPr>
          <w:rFonts w:hint="eastAsia" w:ascii="仿宋" w:hAnsi="仿宋" w:eastAsia="仿宋" w:cs="仿宋"/>
          <w:kern w:val="0"/>
          <w:sz w:val="32"/>
          <w:szCs w:val="32"/>
        </w:rPr>
        <w:t>春季牧草返青期休牧</w:t>
      </w:r>
      <w:r>
        <w:rPr>
          <w:rFonts w:hint="eastAsia" w:ascii="仿宋" w:hAnsi="仿宋" w:eastAsia="仿宋" w:cs="仿宋"/>
          <w:kern w:val="0"/>
          <w:sz w:val="32"/>
          <w:szCs w:val="32"/>
          <w:lang w:eastAsia="zh-CN"/>
        </w:rPr>
        <w:t>工作。</w:t>
      </w:r>
      <w:r>
        <w:rPr>
          <w:rFonts w:hint="eastAsia" w:ascii="仿宋" w:hAnsi="仿宋" w:eastAsia="仿宋" w:cs="仿宋"/>
          <w:kern w:val="0"/>
          <w:sz w:val="32"/>
          <w:szCs w:val="32"/>
        </w:rPr>
        <w:t>持续推进西乌旗草原畜牧业转型升级试点项目，</w:t>
      </w:r>
      <w:r>
        <w:rPr>
          <w:rFonts w:hint="eastAsia" w:ascii="仿宋" w:hAnsi="仿宋" w:eastAsia="仿宋" w:cs="仿宋"/>
          <w:kern w:val="0"/>
          <w:sz w:val="32"/>
          <w:szCs w:val="32"/>
          <w:lang w:val="en-US" w:eastAsia="zh-CN"/>
        </w:rPr>
        <w:t>2023年</w:t>
      </w:r>
      <w:r>
        <w:rPr>
          <w:rFonts w:hint="eastAsia" w:ascii="仿宋" w:hAnsi="仿宋" w:eastAsia="仿宋" w:cs="仿宋"/>
          <w:kern w:val="0"/>
          <w:sz w:val="32"/>
          <w:szCs w:val="32"/>
          <w:lang w:eastAsia="zh-CN"/>
        </w:rPr>
        <w:t>建设内容全部完成。三是</w:t>
      </w:r>
      <w:r>
        <w:rPr>
          <w:rFonts w:hint="eastAsia" w:ascii="仿宋" w:hAnsi="仿宋" w:eastAsia="仿宋" w:cs="仿宋"/>
          <w:kern w:val="0"/>
          <w:sz w:val="32"/>
          <w:szCs w:val="32"/>
        </w:rPr>
        <w:t>持续推进产地环境净化。完成测土配方施肥面积349万亩，</w:t>
      </w:r>
      <w:r>
        <w:rPr>
          <w:rFonts w:hint="eastAsia" w:ascii="仿宋" w:hAnsi="仿宋" w:eastAsia="仿宋" w:cs="仿宋"/>
          <w:kern w:val="0"/>
          <w:sz w:val="32"/>
          <w:szCs w:val="32"/>
          <w:lang w:eastAsia="zh-CN"/>
        </w:rPr>
        <w:t>占</w:t>
      </w:r>
      <w:r>
        <w:rPr>
          <w:rFonts w:hint="eastAsia" w:ascii="仿宋" w:hAnsi="仿宋" w:eastAsia="仿宋" w:cs="仿宋"/>
          <w:kern w:val="0"/>
          <w:sz w:val="32"/>
          <w:szCs w:val="32"/>
        </w:rPr>
        <w:t>农作物总播种面积的91.7%。完成病虫害绿色防控统防统治累计156.1万亩</w:t>
      </w:r>
      <w:r>
        <w:rPr>
          <w:rFonts w:hint="eastAsia" w:ascii="仿宋" w:hAnsi="仿宋" w:eastAsia="仿宋" w:cs="仿宋"/>
          <w:kern w:val="0"/>
          <w:sz w:val="32"/>
          <w:szCs w:val="32"/>
          <w:lang w:eastAsia="zh-CN"/>
        </w:rPr>
        <w:t>，完成40万亩耕地轮作。</w:t>
      </w:r>
      <w:r>
        <w:rPr>
          <w:rFonts w:hint="eastAsia" w:ascii="仿宋" w:hAnsi="仿宋" w:eastAsia="仿宋" w:cs="仿宋"/>
          <w:kern w:val="0"/>
          <w:sz w:val="32"/>
          <w:szCs w:val="32"/>
        </w:rPr>
        <w:t>全盟秸秆综合利用率达到92%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重点覆膜区域地膜回收率达到84.4%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持续</w:t>
      </w:r>
      <w:r>
        <w:rPr>
          <w:rFonts w:hint="eastAsia" w:ascii="仿宋" w:hAnsi="仿宋" w:eastAsia="仿宋" w:cs="仿宋"/>
          <w:kern w:val="0"/>
          <w:sz w:val="32"/>
          <w:szCs w:val="32"/>
          <w:lang w:eastAsia="zh-CN"/>
        </w:rPr>
        <w:t>推进</w:t>
      </w:r>
      <w:r>
        <w:rPr>
          <w:rFonts w:hint="eastAsia" w:ascii="仿宋" w:hAnsi="仿宋" w:eastAsia="仿宋" w:cs="仿宋"/>
          <w:kern w:val="0"/>
          <w:sz w:val="32"/>
          <w:szCs w:val="32"/>
        </w:rPr>
        <w:t>畜禽粪污资源化利用整县推进项目建设</w:t>
      </w:r>
      <w:r>
        <w:rPr>
          <w:rFonts w:hint="eastAsia" w:ascii="仿宋" w:hAnsi="仿宋" w:eastAsia="仿宋" w:cs="仿宋"/>
          <w:kern w:val="0"/>
          <w:sz w:val="32"/>
          <w:szCs w:val="32"/>
          <w:lang w:eastAsia="zh-CN"/>
        </w:rPr>
        <w:t>，镶黄旗、蓝旗和阿旗已完工，锡林浩特市年内</w:t>
      </w:r>
      <w:r>
        <w:rPr>
          <w:rFonts w:hint="eastAsia" w:ascii="仿宋" w:hAnsi="仿宋" w:eastAsia="仿宋" w:cs="仿宋"/>
          <w:kern w:val="0"/>
          <w:sz w:val="32"/>
          <w:szCs w:val="32"/>
          <w:lang w:val="en-US" w:eastAsia="zh-CN"/>
        </w:rPr>
        <w:t>竣工，全盟畜禽粪污综合利用率达到84%。</w:t>
      </w:r>
      <w:r>
        <w:rPr>
          <w:rFonts w:hint="eastAsia" w:ascii="仿宋" w:hAnsi="仿宋" w:eastAsia="仿宋" w:cs="仿宋"/>
          <w:kern w:val="0"/>
          <w:sz w:val="32"/>
          <w:szCs w:val="32"/>
          <w:lang w:eastAsia="zh-CN"/>
        </w:rPr>
        <w:t>完成</w:t>
      </w:r>
      <w:r>
        <w:rPr>
          <w:rFonts w:hint="eastAsia" w:ascii="仿宋" w:hAnsi="仿宋" w:eastAsia="仿宋" w:cs="仿宋"/>
          <w:kern w:val="0"/>
          <w:sz w:val="32"/>
          <w:szCs w:val="32"/>
        </w:rPr>
        <w:t>春季重大动物疫病集中免疫</w:t>
      </w:r>
      <w:r>
        <w:rPr>
          <w:rFonts w:hint="eastAsia" w:ascii="仿宋" w:hAnsi="仿宋" w:eastAsia="仿宋" w:cs="仿宋"/>
          <w:kern w:val="0"/>
          <w:sz w:val="32"/>
          <w:szCs w:val="32"/>
          <w:lang w:eastAsia="zh-CN"/>
        </w:rPr>
        <w:t>牲畜</w:t>
      </w:r>
      <w:r>
        <w:rPr>
          <w:rFonts w:hint="eastAsia" w:ascii="仿宋" w:hAnsi="仿宋" w:eastAsia="仿宋" w:cs="仿宋"/>
          <w:kern w:val="0"/>
          <w:sz w:val="32"/>
          <w:szCs w:val="32"/>
        </w:rPr>
        <w:t>6012.4万头次。</w:t>
      </w:r>
      <w:r>
        <w:rPr>
          <w:rFonts w:hint="eastAsia" w:ascii="仿宋" w:hAnsi="仿宋" w:eastAsia="仿宋" w:cs="仿宋"/>
          <w:kern w:val="0"/>
          <w:sz w:val="32"/>
          <w:szCs w:val="32"/>
          <w:lang w:eastAsia="zh-CN"/>
        </w:rPr>
        <w:t>四是全盟10家企业新获得有机产品认证，产量3.62万吨；3家企业申报绿色食品认证，产量0.92万吨，上报至自治区安全中心；7个名特优新农产品获得认证。支持推动2个旗农畜产品质量安全检测机构“双认证”工作，全盟农畜产品质量安全监测总体合格率稳定在98%以上。全盟网格化管理达标苏木乡镇（街道办事处）达标占比达到82%，落实承诺达标合格证制度的生产主体总数达到78家，组织4家地标农产品用标企业入驻国家地标馆。</w:t>
      </w:r>
    </w:p>
    <w:bookmarkEnd w:id="5"/>
    <w:p w14:paraId="290AED3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eastAsia="zh-CN"/>
        </w:rPr>
      </w:pPr>
    </w:p>
    <w:p w14:paraId="27F2E578">
      <w:pPr>
        <w:pStyle w:val="3"/>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第二部分  单位决算情况说明</w:t>
      </w:r>
    </w:p>
    <w:p w14:paraId="01137BC8">
      <w:pPr>
        <w:keepNext w:val="0"/>
        <w:keepLines w:val="0"/>
        <w:pageBreakBefore w:val="0"/>
        <w:widowControl/>
        <w:kinsoku/>
        <w:wordWrap/>
        <w:overflowPunct/>
        <w:topLinePunct w:val="0"/>
        <w:autoSpaceDE/>
        <w:autoSpaceDN/>
        <w:bidi w:val="0"/>
        <w:adjustRightInd/>
        <w:snapToGrid/>
        <w:spacing w:before="240" w:after="240"/>
        <w:jc w:val="left"/>
        <w:textAlignment w:val="auto"/>
        <w:rPr>
          <w:rFonts w:eastAsia="Times New Roman"/>
          <w:kern w:val="0"/>
          <w:sz w:val="32"/>
          <w:szCs w:val="32"/>
        </w:rPr>
      </w:pPr>
      <w:r>
        <w:rPr>
          <w:rFonts w:ascii="Calibri" w:hAnsi="Calibri" w:eastAsia="Calibri" w:cs="Calibri"/>
          <w:b/>
          <w:bCs/>
          <w:kern w:val="0"/>
          <w:sz w:val="27"/>
          <w:szCs w:val="27"/>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一、收入支出决算总体情况说明</w:t>
      </w:r>
    </w:p>
    <w:p w14:paraId="3B872D96">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w:t>
      </w: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 锡林郭勒盟农牧局（本级）2023年度收入、支出决算总计</w:t>
      </w:r>
      <w:r>
        <w:rPr>
          <w:rFonts w:hint="eastAsia" w:ascii="仿宋" w:hAnsi="仿宋" w:eastAsia="仿宋" w:cs="仿宋"/>
          <w:kern w:val="0"/>
          <w:sz w:val="32"/>
          <w:szCs w:val="32"/>
          <w:u w:val="single"/>
        </w:rPr>
        <w:t xml:space="preserve"> 2,568.26</w:t>
      </w:r>
      <w:r>
        <w:rPr>
          <w:rFonts w:hint="eastAsia" w:ascii="仿宋" w:hAnsi="仿宋" w:eastAsia="仿宋" w:cs="仿宋"/>
          <w:kern w:val="0"/>
          <w:sz w:val="32"/>
          <w:szCs w:val="32"/>
        </w:rPr>
        <w:t>万元。与年初预算相比，收、支总计各增加</w:t>
      </w:r>
      <w:r>
        <w:rPr>
          <w:rFonts w:hint="eastAsia" w:ascii="仿宋" w:hAnsi="仿宋" w:eastAsia="仿宋" w:cs="仿宋"/>
          <w:kern w:val="0"/>
          <w:sz w:val="32"/>
          <w:szCs w:val="32"/>
          <w:u w:val="single"/>
        </w:rPr>
        <w:t>383.03</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17.53</w:t>
      </w:r>
      <w:r>
        <w:rPr>
          <w:rFonts w:hint="eastAsia" w:ascii="仿宋" w:hAnsi="仿宋" w:eastAsia="仿宋" w:cs="仿宋"/>
          <w:kern w:val="0"/>
          <w:sz w:val="32"/>
          <w:szCs w:val="32"/>
        </w:rPr>
        <w:t>%，变动原因：</w:t>
      </w:r>
      <w:bookmarkStart w:id="1" w:name="OLE_LINK3"/>
      <w:r>
        <w:rPr>
          <w:rFonts w:hint="eastAsia" w:ascii="仿宋" w:hAnsi="仿宋" w:eastAsia="仿宋" w:cs="仿宋"/>
          <w:kern w:val="0"/>
          <w:sz w:val="32"/>
          <w:szCs w:val="32"/>
        </w:rPr>
        <w:t>人员经费中在职人员工资增加</w:t>
      </w:r>
      <w:r>
        <w:rPr>
          <w:rFonts w:hint="eastAsia" w:ascii="仿宋" w:hAnsi="仿宋" w:eastAsia="仿宋" w:cs="仿宋"/>
          <w:kern w:val="0"/>
          <w:sz w:val="32"/>
          <w:szCs w:val="32"/>
          <w:lang w:eastAsia="zh-CN"/>
        </w:rPr>
        <w:t>及</w:t>
      </w:r>
      <w:r>
        <w:rPr>
          <w:rFonts w:hint="eastAsia" w:ascii="仿宋" w:hAnsi="仿宋" w:eastAsia="仿宋" w:cs="仿宋"/>
          <w:kern w:val="0"/>
          <w:sz w:val="32"/>
          <w:szCs w:val="32"/>
        </w:rPr>
        <w:t>抚恤金及丧葬费</w:t>
      </w:r>
      <w:r>
        <w:rPr>
          <w:rFonts w:hint="eastAsia" w:ascii="仿宋" w:hAnsi="仿宋" w:eastAsia="仿宋" w:cs="仿宋"/>
          <w:kern w:val="0"/>
          <w:sz w:val="32"/>
          <w:szCs w:val="32"/>
          <w:lang w:eastAsia="zh-CN"/>
        </w:rPr>
        <w:t>等导致</w:t>
      </w:r>
      <w:r>
        <w:rPr>
          <w:rFonts w:hint="eastAsia" w:ascii="仿宋" w:hAnsi="仿宋" w:eastAsia="仿宋" w:cs="仿宋"/>
          <w:kern w:val="0"/>
          <w:sz w:val="32"/>
          <w:szCs w:val="32"/>
        </w:rPr>
        <w:t>增加。专项资金本年支出盟级招商引资项目资金15.98万元、自治区2023年度种业振兴资金20万元、自治区2023年动物防疫补助资金（第一批）（内财农〔2023〕1751号）19.81万元、自治区2023年农畜产品质量安全监管检测（内财农〔2022〕1751号）12万元、“中国生态羊都”合作共建工作经费30万元等多项资金导致差异</w:t>
      </w:r>
      <w:bookmarkEnd w:id="1"/>
      <w:r>
        <w:rPr>
          <w:rFonts w:hint="eastAsia" w:ascii="仿宋" w:hAnsi="仿宋" w:eastAsia="仿宋" w:cs="仿宋"/>
          <w:kern w:val="0"/>
          <w:sz w:val="32"/>
          <w:szCs w:val="32"/>
        </w:rPr>
        <w:t>；与上年决算相比，收、支总计各增加</w:t>
      </w:r>
      <w:r>
        <w:rPr>
          <w:rFonts w:hint="eastAsia" w:ascii="仿宋" w:hAnsi="仿宋" w:eastAsia="仿宋" w:cs="仿宋"/>
          <w:kern w:val="0"/>
          <w:sz w:val="32"/>
          <w:szCs w:val="32"/>
          <w:u w:val="single"/>
        </w:rPr>
        <w:t>642.05</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33.33</w:t>
      </w:r>
      <w:r>
        <w:rPr>
          <w:rFonts w:hint="eastAsia" w:ascii="仿宋" w:hAnsi="仿宋" w:eastAsia="仿宋" w:cs="仿宋"/>
          <w:kern w:val="0"/>
          <w:sz w:val="32"/>
          <w:szCs w:val="32"/>
        </w:rPr>
        <w:t>%。其中：</w:t>
      </w:r>
    </w:p>
    <w:p w14:paraId="0A41248A">
      <w:pPr>
        <w:keepNext w:val="0"/>
        <w:keepLines w:val="0"/>
        <w:pageBreakBefore w:val="0"/>
        <w:widowControl/>
        <w:kinsoku/>
        <w:wordWrap/>
        <w:overflowPunct/>
        <w:topLinePunct w:val="0"/>
        <w:autoSpaceDE/>
        <w:autoSpaceDN/>
        <w:bidi w:val="0"/>
        <w:adjustRightInd/>
        <w:snapToGrid/>
        <w:jc w:val="left"/>
        <w:textAlignment w:val="auto"/>
        <w:rPr>
          <w:rFonts w:eastAsia="Times New Roman"/>
          <w:kern w:val="0"/>
          <w:sz w:val="32"/>
          <w:szCs w:val="32"/>
        </w:rPr>
      </w:pPr>
      <w:r>
        <w:rPr>
          <w:rFonts w:ascii="kai_ti_gb2312" w:hAnsi="kai_ti_gb2312" w:eastAsia="kai_ti_gb2312" w:cs="kai_ti_gb2312"/>
          <w:b/>
          <w:bCs/>
          <w:kern w:val="0"/>
          <w:sz w:val="32"/>
          <w:szCs w:val="32"/>
        </w:rPr>
        <w:t>    （一）收入决算总计</w:t>
      </w:r>
      <w:r>
        <w:rPr>
          <w:rFonts w:ascii="times_new_roman" w:hAnsi="times_new_roman" w:eastAsia="times_new_roman" w:cs="times_new_roman"/>
          <w:b/>
          <w:bCs/>
          <w:kern w:val="0"/>
          <w:sz w:val="32"/>
          <w:szCs w:val="32"/>
          <w:u w:val="single"/>
        </w:rPr>
        <w:t xml:space="preserve"> 2,568.26</w:t>
      </w:r>
      <w:r>
        <w:rPr>
          <w:rFonts w:ascii="kai_ti_gb2312" w:hAnsi="kai_ti_gb2312" w:eastAsia="kai_ti_gb2312" w:cs="kai_ti_gb2312"/>
          <w:b/>
          <w:bCs/>
          <w:kern w:val="0"/>
          <w:sz w:val="32"/>
          <w:szCs w:val="32"/>
        </w:rPr>
        <w:t>万元。包括：</w:t>
      </w:r>
    </w:p>
    <w:p w14:paraId="1114AD8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1.本年收入决算合计</w:t>
      </w:r>
      <w:r>
        <w:rPr>
          <w:rFonts w:hint="eastAsia" w:ascii="仿宋" w:hAnsi="仿宋" w:eastAsia="仿宋" w:cs="仿宋"/>
          <w:kern w:val="0"/>
          <w:sz w:val="32"/>
          <w:szCs w:val="32"/>
          <w:u w:val="single"/>
        </w:rPr>
        <w:t xml:space="preserve"> 2,568.26</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643.13</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33.41</w:t>
      </w:r>
      <w:r>
        <w:rPr>
          <w:rFonts w:hint="eastAsia" w:ascii="仿宋" w:hAnsi="仿宋" w:eastAsia="仿宋" w:cs="仿宋"/>
          <w:kern w:val="0"/>
          <w:sz w:val="32"/>
          <w:szCs w:val="32"/>
        </w:rPr>
        <w:t>%，变动原因：人员经费中在职人员工资增加144万元，抚恤金及丧葬费增加113万元。专项资金较上年增加438.83万元，含上年结转及本年安排专项资金盟级招商引资项目资金（第一批）49万元、人才开发专项资金26万元、盟级招商引资项目资金15.98万元、自治区2023年度种业振兴资金20万元、自治区2023年动物防疫补助资金（第一批）（内财农〔2023〕1751号）19.81万元、自治区2023年农畜产品质量安全监管检测（内财农〔2022〕1751号）12万元、“中国生态羊都”合作共建工作经费30万元等多项资金、其他收入中共天津市委组织部汇入第23批博士服务团资助经费。</w:t>
      </w:r>
    </w:p>
    <w:p w14:paraId="2F18A094">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2.使用非财政拨款结余和专用结余</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0</w:t>
      </w:r>
      <w:r>
        <w:rPr>
          <w:rFonts w:hint="eastAsia" w:ascii="仿宋" w:hAnsi="仿宋" w:eastAsia="仿宋" w:cs="仿宋"/>
          <w:kern w:val="0"/>
          <w:sz w:val="32"/>
          <w:szCs w:val="32"/>
        </w:rPr>
        <w:t>%，变动原因：不存在此项内容。</w:t>
      </w:r>
    </w:p>
    <w:p w14:paraId="073DCA5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3.年初结转和结余 </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万元。与上年决算相比，减少</w:t>
      </w:r>
      <w:r>
        <w:rPr>
          <w:rFonts w:hint="eastAsia" w:ascii="仿宋" w:hAnsi="仿宋" w:eastAsia="仿宋" w:cs="仿宋"/>
          <w:kern w:val="0"/>
          <w:sz w:val="32"/>
          <w:szCs w:val="32"/>
          <w:u w:val="single"/>
        </w:rPr>
        <w:t>1.08</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100.00</w:t>
      </w:r>
      <w:r>
        <w:rPr>
          <w:rFonts w:hint="eastAsia" w:ascii="仿宋" w:hAnsi="仿宋" w:eastAsia="仿宋" w:cs="仿宋"/>
          <w:kern w:val="0"/>
          <w:sz w:val="32"/>
          <w:szCs w:val="32"/>
        </w:rPr>
        <w:t>%，变动原因：本年无结转结余。</w:t>
      </w:r>
    </w:p>
    <w:p w14:paraId="79FB6F24">
      <w:pPr>
        <w:keepNext w:val="0"/>
        <w:keepLines w:val="0"/>
        <w:pageBreakBefore w:val="0"/>
        <w:widowControl/>
        <w:kinsoku/>
        <w:wordWrap/>
        <w:overflowPunct/>
        <w:topLinePunct w:val="0"/>
        <w:autoSpaceDE/>
        <w:autoSpaceDN/>
        <w:bidi w:val="0"/>
        <w:adjustRightInd/>
        <w:snapToGrid/>
        <w:jc w:val="left"/>
        <w:textAlignment w:val="auto"/>
        <w:rPr>
          <w:rFonts w:eastAsia="Times New Roman"/>
          <w:kern w:val="0"/>
          <w:sz w:val="32"/>
          <w:szCs w:val="32"/>
        </w:rPr>
      </w:pPr>
      <w:r>
        <w:rPr>
          <w:rFonts w:ascii="kai_ti_gb2312" w:hAnsi="kai_ti_gb2312" w:eastAsia="kai_ti_gb2312" w:cs="kai_ti_gb2312"/>
          <w:b/>
          <w:bCs/>
          <w:kern w:val="0"/>
          <w:sz w:val="32"/>
          <w:szCs w:val="32"/>
        </w:rPr>
        <w:t>    （二）支出决算总计</w:t>
      </w:r>
      <w:r>
        <w:rPr>
          <w:rFonts w:ascii="times_new_roman" w:hAnsi="times_new_roman" w:eastAsia="times_new_roman" w:cs="times_new_roman"/>
          <w:b/>
          <w:bCs/>
          <w:kern w:val="0"/>
          <w:sz w:val="32"/>
          <w:szCs w:val="32"/>
          <w:u w:val="single"/>
        </w:rPr>
        <w:t xml:space="preserve"> 2,568.26</w:t>
      </w:r>
      <w:r>
        <w:rPr>
          <w:rFonts w:ascii="kai_ti_gb2312" w:hAnsi="kai_ti_gb2312" w:eastAsia="kai_ti_gb2312" w:cs="kai_ti_gb2312"/>
          <w:b/>
          <w:bCs/>
          <w:kern w:val="0"/>
          <w:sz w:val="32"/>
          <w:szCs w:val="32"/>
        </w:rPr>
        <w:t>万元。包括：</w:t>
      </w:r>
    </w:p>
    <w:p w14:paraId="58B24A4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xml:space="preserve">  </w:t>
      </w:r>
      <w:r>
        <w:rPr>
          <w:rFonts w:hint="eastAsia" w:ascii="fang_song_gb2312" w:hAnsi="fang_song_gb2312" w:cs="fang_song_gb2312"/>
          <w:kern w:val="0"/>
          <w:sz w:val="32"/>
          <w:szCs w:val="32"/>
          <w:lang w:val="en-US" w:eastAsia="zh-CN"/>
        </w:rPr>
        <w:t xml:space="preserve"> </w:t>
      </w: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1.本年支出决算合计</w:t>
      </w:r>
      <w:r>
        <w:rPr>
          <w:rFonts w:hint="eastAsia" w:ascii="仿宋" w:hAnsi="仿宋" w:eastAsia="仿宋" w:cs="仿宋"/>
          <w:kern w:val="0"/>
          <w:sz w:val="32"/>
          <w:szCs w:val="32"/>
          <w:u w:val="single"/>
        </w:rPr>
        <w:t xml:space="preserve"> 2,566.26</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640.05</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33.23</w:t>
      </w:r>
      <w:r>
        <w:rPr>
          <w:rFonts w:hint="eastAsia" w:ascii="仿宋" w:hAnsi="仿宋" w:eastAsia="仿宋" w:cs="仿宋"/>
          <w:kern w:val="0"/>
          <w:sz w:val="32"/>
          <w:szCs w:val="32"/>
        </w:rPr>
        <w:t>%，变动原因：</w:t>
      </w:r>
      <w:bookmarkStart w:id="2" w:name="OLE_LINK2"/>
      <w:r>
        <w:rPr>
          <w:rFonts w:hint="eastAsia" w:ascii="仿宋" w:hAnsi="仿宋" w:eastAsia="仿宋" w:cs="仿宋"/>
          <w:kern w:val="0"/>
          <w:sz w:val="32"/>
          <w:szCs w:val="32"/>
        </w:rPr>
        <w:t>人员经费中在职人员工资增加144万元，抚恤金及丧葬费增加113万元。专项资金较上年增加438.83万元，含上年结转及本年安排专项资金盟级招商引资项目资金（第一批）49万元、人才开发专项资金26万元、盟级招商引资项目资金15.98万元、自治区2023年度种业振兴资金20万元、自治区2023年动物防疫补助资金（第一批）（内财农〔2023〕1751号）19.81万元、自治区2023年农畜产品质量安全监管检测（内财农〔2022〕1751号）12万元、“中国生态羊都”合作共建工作经费30万元、自治区种植业良法推广经费（内财农〔2023〕313号）5.3万元等多项资金</w:t>
      </w:r>
      <w:bookmarkEnd w:id="2"/>
      <w:r>
        <w:rPr>
          <w:rFonts w:hint="eastAsia" w:ascii="仿宋" w:hAnsi="仿宋" w:eastAsia="仿宋" w:cs="仿宋"/>
          <w:kern w:val="0"/>
          <w:sz w:val="32"/>
          <w:szCs w:val="32"/>
        </w:rPr>
        <w:t>。</w:t>
      </w:r>
    </w:p>
    <w:p w14:paraId="58BF190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2.结余分配</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万元。结余分配事项：不存在此项内容。与上年决算相比，增加</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0</w:t>
      </w:r>
      <w:r>
        <w:rPr>
          <w:rFonts w:hint="eastAsia" w:ascii="仿宋" w:hAnsi="仿宋" w:eastAsia="仿宋" w:cs="仿宋"/>
          <w:kern w:val="0"/>
          <w:sz w:val="32"/>
          <w:szCs w:val="32"/>
        </w:rPr>
        <w:t>%，变动原因：不存在此项内容。</w:t>
      </w:r>
    </w:p>
    <w:p w14:paraId="5EDFB2F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3.年末结转和结余</w:t>
      </w:r>
      <w:r>
        <w:rPr>
          <w:rFonts w:hint="eastAsia" w:ascii="仿宋" w:hAnsi="仿宋" w:eastAsia="仿宋" w:cs="仿宋"/>
          <w:kern w:val="0"/>
          <w:sz w:val="32"/>
          <w:szCs w:val="32"/>
          <w:u w:val="single"/>
        </w:rPr>
        <w:t xml:space="preserve"> 2.00</w:t>
      </w:r>
      <w:r>
        <w:rPr>
          <w:rFonts w:hint="eastAsia" w:ascii="仿宋" w:hAnsi="仿宋" w:eastAsia="仿宋" w:cs="仿宋"/>
          <w:kern w:val="0"/>
          <w:sz w:val="32"/>
          <w:szCs w:val="32"/>
        </w:rPr>
        <w:t>万元。结转和结余事项：中共天津市委组织部汇入第23批博士服务团资助经费。与上年决算相比，增加</w:t>
      </w:r>
      <w:r>
        <w:rPr>
          <w:rFonts w:hint="eastAsia" w:ascii="仿宋" w:hAnsi="仿宋" w:eastAsia="仿宋" w:cs="仿宋"/>
          <w:kern w:val="0"/>
          <w:sz w:val="32"/>
          <w:szCs w:val="32"/>
          <w:u w:val="single"/>
        </w:rPr>
        <w:t>2.00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100</w:t>
      </w:r>
      <w:r>
        <w:rPr>
          <w:rFonts w:hint="eastAsia" w:ascii="仿宋" w:hAnsi="仿宋" w:eastAsia="仿宋" w:cs="仿宋"/>
          <w:kern w:val="0"/>
          <w:sz w:val="32"/>
          <w:szCs w:val="32"/>
        </w:rPr>
        <w:t>%，变动原因：新增中共天津市委组织部汇入第23批博士服务团资助经费。</w:t>
      </w:r>
    </w:p>
    <w:p w14:paraId="1B7E1B98">
      <w:pPr>
        <w:keepNext w:val="0"/>
        <w:keepLines w:val="0"/>
        <w:pageBreakBefore w:val="0"/>
        <w:widowControl/>
        <w:kinsoku/>
        <w:wordWrap/>
        <w:overflowPunct/>
        <w:topLinePunct w:val="0"/>
        <w:autoSpaceDE/>
        <w:autoSpaceDN/>
        <w:bidi w:val="0"/>
        <w:adjustRightInd/>
        <w:snapToGrid/>
        <w:textAlignment w:val="auto"/>
        <w:rPr>
          <w:rFonts w:eastAsia="Times New Roman"/>
          <w:kern w:val="0"/>
          <w:sz w:val="32"/>
          <w:szCs w:val="32"/>
        </w:rPr>
      </w:pPr>
      <w:r>
        <w:rPr>
          <w:rFonts w:ascii="fang_song_gb2312" w:hAnsi="fang_song_gb2312" w:eastAsia="fang_song_gb2312" w:cs="fang_song_gb2312"/>
          <w:color w:val="0E00FE"/>
          <w:kern w:val="0"/>
          <w:sz w:val="32"/>
          <w:szCs w:val="32"/>
        </w:rPr>
        <w:t xml:space="preserve">  </w:t>
      </w:r>
      <w:r>
        <w:rPr>
          <w:rFonts w:ascii="黑体" w:hAnsi="黑体" w:eastAsia="黑体" w:cs="黑体"/>
          <w:b/>
          <w:bCs/>
          <w:kern w:val="0"/>
          <w:sz w:val="32"/>
          <w:szCs w:val="32"/>
        </w:rPr>
        <w:t>二、收入决算情况说明</w:t>
      </w:r>
    </w:p>
    <w:p w14:paraId="11211499">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w:t>
      </w: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 锡林郭勒盟农牧局（本级） 2023年度本年收入决算合计</w:t>
      </w:r>
      <w:r>
        <w:rPr>
          <w:rFonts w:hint="eastAsia" w:ascii="仿宋" w:hAnsi="仿宋" w:eastAsia="仿宋" w:cs="仿宋"/>
          <w:kern w:val="0"/>
          <w:sz w:val="32"/>
          <w:szCs w:val="32"/>
          <w:u w:val="single"/>
        </w:rPr>
        <w:t xml:space="preserve"> 2,568.26</w:t>
      </w:r>
      <w:r>
        <w:rPr>
          <w:rFonts w:hint="eastAsia" w:ascii="仿宋" w:hAnsi="仿宋" w:eastAsia="仿宋" w:cs="仿宋"/>
          <w:kern w:val="0"/>
          <w:sz w:val="32"/>
          <w:szCs w:val="32"/>
        </w:rPr>
        <w:t>万元，其中：</w:t>
      </w:r>
    </w:p>
    <w:p w14:paraId="5C34840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本年一般公共预算财政拨款收入</w:t>
      </w:r>
      <w:r>
        <w:rPr>
          <w:rFonts w:hint="eastAsia" w:ascii="仿宋" w:hAnsi="仿宋" w:eastAsia="仿宋" w:cs="仿宋"/>
          <w:kern w:val="0"/>
          <w:sz w:val="32"/>
          <w:szCs w:val="32"/>
          <w:u w:val="single"/>
        </w:rPr>
        <w:t xml:space="preserve"> 2,566.26</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99.92</w:t>
      </w:r>
      <w:r>
        <w:rPr>
          <w:rFonts w:hint="eastAsia" w:ascii="仿宋" w:hAnsi="仿宋" w:eastAsia="仿宋" w:cs="仿宋"/>
          <w:kern w:val="0"/>
          <w:sz w:val="32"/>
          <w:szCs w:val="32"/>
        </w:rPr>
        <w:t>%；</w:t>
      </w:r>
    </w:p>
    <w:p w14:paraId="4A2B981B">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本年政府性基金预算财政拨款收入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71B4716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本年国有资本经营预算财政拨款收入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7151970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本年上级补助收入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6137E93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本年事业收入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5FB3FB36">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本年经营收入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6FB4D204">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本年附属单位上缴收入</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0C6F0DD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32"/>
          <w:szCs w:val="32"/>
        </w:rPr>
      </w:pPr>
      <w:r>
        <w:rPr>
          <w:rFonts w:hint="eastAsia" w:ascii="仿宋" w:hAnsi="仿宋" w:eastAsia="仿宋" w:cs="仿宋"/>
          <w:kern w:val="0"/>
          <w:sz w:val="32"/>
          <w:szCs w:val="32"/>
        </w:rPr>
        <w:t>    本年其他收入</w:t>
      </w:r>
      <w:r>
        <w:rPr>
          <w:rFonts w:hint="eastAsia" w:ascii="仿宋" w:hAnsi="仿宋" w:eastAsia="仿宋" w:cs="仿宋"/>
          <w:kern w:val="0"/>
          <w:sz w:val="32"/>
          <w:szCs w:val="32"/>
          <w:u w:val="single"/>
        </w:rPr>
        <w:t xml:space="preserve"> 2.00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0.08</w:t>
      </w:r>
      <w:r>
        <w:rPr>
          <w:rFonts w:hint="eastAsia" w:ascii="仿宋" w:hAnsi="仿宋" w:eastAsia="仿宋" w:cs="仿宋"/>
          <w:kern w:val="0"/>
          <w:sz w:val="32"/>
          <w:szCs w:val="32"/>
        </w:rPr>
        <w:t>%。</w:t>
      </w:r>
      <w:r>
        <w:rPr>
          <w:rFonts w:hint="eastAsia" w:ascii="仿宋" w:hAnsi="仿宋" w:eastAsia="仿宋" w:cs="仿宋"/>
          <w:color w:val="0E00FE"/>
          <w:kern w:val="0"/>
          <w:sz w:val="32"/>
          <w:szCs w:val="32"/>
        </w:rPr>
        <w:t> </w:t>
      </w:r>
    </w:p>
    <w:p w14:paraId="2CB46CC4">
      <w:pPr>
        <w:widowControl/>
        <w:spacing w:before="240" w:after="240"/>
        <w:jc w:val="center"/>
        <w:rPr>
          <w:rFonts w:eastAsia="Times New Roman"/>
          <w:kern w:val="0"/>
          <w:sz w:val="24"/>
        </w:rPr>
      </w:pPr>
      <w:r>
        <w:rPr>
          <w:rFonts w:eastAsia="Times New Roman"/>
          <w:kern w:val="0"/>
          <w:sz w:val="24"/>
        </w:rPr>
        <w:drawing>
          <wp:inline distT="0" distB="0" distL="114300" distR="114300">
            <wp:extent cx="4400550" cy="2828925"/>
            <wp:effectExtent l="19050" t="0" r="19050" b="0"/>
            <wp:docPr id="2" name="图表 1" descr="7b0a202020202263686172745265734964223a202232303437353936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24A6C29">
      <w:pPr>
        <w:widowControl/>
        <w:spacing w:before="240" w:after="240"/>
        <w:jc w:val="center"/>
        <w:rPr>
          <w:rFonts w:eastAsia="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14:paraId="1CE5B7CC">
      <w:pPr>
        <w:widowControl/>
        <w:spacing w:before="240" w:after="240"/>
        <w:jc w:val="left"/>
        <w:rPr>
          <w:rFonts w:eastAsia="Times New Roman"/>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32"/>
          <w:szCs w:val="32"/>
        </w:rPr>
        <w:t>三、支出决算情况说明</w:t>
      </w:r>
    </w:p>
    <w:p w14:paraId="1CD0F1D4">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w:t>
      </w: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锡林郭勒盟农牧局（本级） 2023年度本年支出决算合计</w:t>
      </w:r>
      <w:r>
        <w:rPr>
          <w:rFonts w:hint="eastAsia" w:ascii="仿宋" w:hAnsi="仿宋" w:eastAsia="仿宋" w:cs="仿宋"/>
          <w:kern w:val="0"/>
          <w:sz w:val="32"/>
          <w:szCs w:val="32"/>
          <w:u w:val="single"/>
        </w:rPr>
        <w:t xml:space="preserve"> 2,566.26</w:t>
      </w:r>
      <w:r>
        <w:rPr>
          <w:rFonts w:hint="eastAsia" w:ascii="仿宋" w:hAnsi="仿宋" w:eastAsia="仿宋" w:cs="仿宋"/>
          <w:kern w:val="0"/>
          <w:sz w:val="32"/>
          <w:szCs w:val="32"/>
        </w:rPr>
        <w:t>万元，其中：</w:t>
      </w:r>
    </w:p>
    <w:p w14:paraId="6FD299D2">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本年基本支出</w:t>
      </w:r>
      <w:r>
        <w:rPr>
          <w:rFonts w:hint="eastAsia" w:ascii="仿宋" w:hAnsi="仿宋" w:eastAsia="仿宋" w:cs="仿宋"/>
          <w:kern w:val="0"/>
          <w:sz w:val="32"/>
          <w:szCs w:val="32"/>
          <w:u w:val="single"/>
        </w:rPr>
        <w:t xml:space="preserve"> 1,653.59</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64.44</w:t>
      </w:r>
      <w:r>
        <w:rPr>
          <w:rFonts w:hint="eastAsia" w:ascii="仿宋" w:hAnsi="仿宋" w:eastAsia="仿宋" w:cs="仿宋"/>
          <w:kern w:val="0"/>
          <w:sz w:val="32"/>
          <w:szCs w:val="32"/>
        </w:rPr>
        <w:t>%；</w:t>
      </w:r>
    </w:p>
    <w:p w14:paraId="29F9E42D">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本年项目支出</w:t>
      </w:r>
      <w:r>
        <w:rPr>
          <w:rFonts w:hint="eastAsia" w:ascii="仿宋" w:hAnsi="仿宋" w:eastAsia="仿宋" w:cs="仿宋"/>
          <w:kern w:val="0"/>
          <w:sz w:val="32"/>
          <w:szCs w:val="32"/>
          <w:u w:val="single"/>
        </w:rPr>
        <w:t xml:space="preserve"> 912.67</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35.56</w:t>
      </w:r>
      <w:r>
        <w:rPr>
          <w:rFonts w:hint="eastAsia" w:ascii="仿宋" w:hAnsi="仿宋" w:eastAsia="仿宋" w:cs="仿宋"/>
          <w:kern w:val="0"/>
          <w:sz w:val="32"/>
          <w:szCs w:val="32"/>
        </w:rPr>
        <w:t>%；</w:t>
      </w:r>
    </w:p>
    <w:p w14:paraId="29AF09BA">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本年上缴上级支出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7B79FD1A">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本年经营支出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201DE09C">
      <w:pPr>
        <w:widowControl/>
        <w:spacing w:before="240" w:after="240"/>
        <w:rPr>
          <w:rFonts w:eastAsia="Times New Roman"/>
          <w:kern w:val="0"/>
          <w:sz w:val="32"/>
          <w:szCs w:val="32"/>
        </w:rPr>
      </w:pPr>
      <w:r>
        <w:rPr>
          <w:rFonts w:hint="eastAsia" w:ascii="仿宋" w:hAnsi="仿宋" w:eastAsia="仿宋" w:cs="仿宋"/>
          <w:kern w:val="0"/>
          <w:sz w:val="32"/>
          <w:szCs w:val="32"/>
        </w:rPr>
        <w:t>    本年对附属单位补助支出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w:t>
      </w:r>
    </w:p>
    <w:p w14:paraId="24BCAC5B">
      <w:pPr>
        <w:widowControl/>
        <w:spacing w:before="240" w:after="240"/>
        <w:jc w:val="center"/>
        <w:rPr>
          <w:rFonts w:eastAsia="Times New Roman"/>
          <w:kern w:val="0"/>
          <w:sz w:val="24"/>
        </w:rPr>
      </w:pPr>
      <w:r>
        <w:rPr>
          <w:rFonts w:ascii="fang_song_gb2312" w:hAnsi="fang_song_gb2312" w:eastAsia="fang_song_gb2312" w:cs="fang_song_gb2312"/>
          <w:color w:val="0E00FE"/>
          <w:kern w:val="0"/>
          <w:sz w:val="27"/>
          <w:szCs w:val="27"/>
        </w:rPr>
        <w:drawing>
          <wp:inline distT="0" distB="0" distL="114300" distR="114300">
            <wp:extent cx="4826000" cy="2743200"/>
            <wp:effectExtent l="4445" t="4445" r="8255" b="14605"/>
            <wp:docPr id="4" name="图表 3"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1B1A64">
      <w:pPr>
        <w:widowControl/>
        <w:spacing w:before="240" w:after="240"/>
        <w:jc w:val="center"/>
        <w:rPr>
          <w:rFonts w:eastAsia="Times New Roman"/>
          <w:kern w:val="0"/>
          <w:sz w:val="24"/>
        </w:rPr>
      </w:pPr>
      <w:r>
        <w:rPr>
          <w:rFonts w:ascii="fang_song_gb2312" w:hAnsi="fang_song_gb2312" w:eastAsia="fang_song_gb2312" w:cs="fang_song_gb2312"/>
          <w:kern w:val="0"/>
          <w:sz w:val="27"/>
          <w:szCs w:val="27"/>
        </w:rPr>
        <w:t>图2.支出决算图</w:t>
      </w:r>
    </w:p>
    <w:p w14:paraId="30B3CE34">
      <w:pPr>
        <w:widowControl/>
        <w:spacing w:before="240" w:after="240"/>
        <w:jc w:val="left"/>
        <w:rPr>
          <w:rFonts w:eastAsia="Times New Roman"/>
          <w:kern w:val="0"/>
          <w:sz w:val="32"/>
          <w:szCs w:val="32"/>
        </w:rPr>
      </w:pP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四、财政拨款收入支出决算总体情况说明</w:t>
      </w:r>
    </w:p>
    <w:p w14:paraId="68AFC782">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w:t>
      </w: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锡林郭勒盟农牧局（本级） 2023年度财政拨款收入、支出决算总计</w:t>
      </w:r>
      <w:r>
        <w:rPr>
          <w:rFonts w:hint="eastAsia" w:ascii="仿宋" w:hAnsi="仿宋" w:eastAsia="仿宋" w:cs="仿宋"/>
          <w:kern w:val="0"/>
          <w:sz w:val="32"/>
          <w:szCs w:val="32"/>
          <w:u w:val="single"/>
        </w:rPr>
        <w:t xml:space="preserve"> 2,566.26</w:t>
      </w:r>
      <w:r>
        <w:rPr>
          <w:rFonts w:hint="eastAsia" w:ascii="仿宋" w:hAnsi="仿宋" w:eastAsia="仿宋" w:cs="仿宋"/>
          <w:kern w:val="0"/>
          <w:sz w:val="32"/>
          <w:szCs w:val="32"/>
        </w:rPr>
        <w:t>万元，与年初预算相比，收、支总计各增加</w:t>
      </w:r>
      <w:r>
        <w:rPr>
          <w:rFonts w:hint="eastAsia" w:ascii="仿宋" w:hAnsi="仿宋" w:eastAsia="仿宋" w:cs="仿宋"/>
          <w:kern w:val="0"/>
          <w:sz w:val="32"/>
          <w:szCs w:val="32"/>
          <w:u w:val="single"/>
        </w:rPr>
        <w:t>381.03</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17.44</w:t>
      </w:r>
      <w:r>
        <w:rPr>
          <w:rFonts w:hint="eastAsia" w:ascii="仿宋" w:hAnsi="仿宋" w:eastAsia="仿宋" w:cs="仿宋"/>
          <w:kern w:val="0"/>
          <w:sz w:val="32"/>
          <w:szCs w:val="32"/>
        </w:rPr>
        <w:t>%，变动原因：人员经费中在职人员工资增加144万元，抚恤金及丧葬费增加113万元。专项资金本年支出盟级招商引资项目资金（第一批）49万元、人才开发专项资金26万元、盟级招商引资项目资金15.98万元、自治区2023年度种业振兴资金20万元、自治区2023年动物防疫补助资金（第一批）（内财农〔2023〕1751号）19.81万元、自治区2023年农畜产品质量安全监管检测（内财农〔2022〕1751号）12万元、“中国生态羊都”合作共建工作经费30万元等多项资金导致差异；与上年决算相比，收、支总计各增加</w:t>
      </w:r>
      <w:r>
        <w:rPr>
          <w:rFonts w:hint="eastAsia" w:ascii="仿宋" w:hAnsi="仿宋" w:eastAsia="仿宋" w:cs="仿宋"/>
          <w:kern w:val="0"/>
          <w:sz w:val="32"/>
          <w:szCs w:val="32"/>
          <w:u w:val="single"/>
        </w:rPr>
        <w:t>640.44</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33.26</w:t>
      </w:r>
      <w:r>
        <w:rPr>
          <w:rFonts w:hint="eastAsia" w:ascii="仿宋" w:hAnsi="仿宋" w:eastAsia="仿宋" w:cs="仿宋"/>
          <w:kern w:val="0"/>
          <w:sz w:val="32"/>
          <w:szCs w:val="32"/>
        </w:rPr>
        <w:t>%，变动原因：人员经费中在职人员工资增加144万元，抚恤金及丧葬费增加113万元。专项资金较上年增加438.83万元，含上年结转及本年安排专项资金盟级招商引资项目资金（第一批）49万元、人才开发专项资金26万元、盟级招商引资项目资金15.98万元、自治区2023年度种业振兴资金20万元、自治区2023年动物防疫补助资金（第一批）（内财农〔2023〕1751号）19.81万元、自治区2023年农畜产品质量安全监管检测（内财农〔2022〕1751号）12万元、自治区2023年饲料产品安全监管检测经费（内财农〔2022〕1751号）1万元等多项资金。</w:t>
      </w:r>
    </w:p>
    <w:p w14:paraId="42C7DD24">
      <w:pPr>
        <w:widowControl/>
        <w:spacing w:before="240" w:after="240"/>
        <w:jc w:val="left"/>
        <w:rPr>
          <w:rFonts w:eastAsia="Times New Roman"/>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五、一般公共预算财政拨款支出决算情况说明</w:t>
      </w:r>
    </w:p>
    <w:p w14:paraId="10D2BF08">
      <w:pPr>
        <w:widowControl/>
        <w:spacing w:before="240" w:after="240"/>
        <w:rPr>
          <w:rFonts w:eastAsia="Times New Roman"/>
          <w:kern w:val="0"/>
          <w:sz w:val="32"/>
          <w:szCs w:val="32"/>
        </w:rPr>
      </w:pPr>
      <w:r>
        <w:rPr>
          <w:rFonts w:ascii="fang_song_gb2312" w:hAnsi="fang_song_gb2312" w:eastAsia="fang_song_gb2312" w:cs="fang_song_gb2312"/>
          <w:color w:val="0E00FE"/>
          <w:kern w:val="0"/>
          <w:sz w:val="32"/>
          <w:szCs w:val="32"/>
        </w:rPr>
        <w:t>   </w:t>
      </w: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锡林郭勒盟农牧局（本级） 2023年度一般公共预算财政拨款支出决算</w:t>
      </w:r>
      <w:r>
        <w:rPr>
          <w:rFonts w:hint="eastAsia" w:ascii="仿宋" w:hAnsi="仿宋" w:eastAsia="仿宋" w:cs="仿宋"/>
          <w:kern w:val="0"/>
          <w:sz w:val="32"/>
          <w:szCs w:val="32"/>
          <w:u w:val="single"/>
        </w:rPr>
        <w:t xml:space="preserve"> 2,566.26</w:t>
      </w:r>
      <w:r>
        <w:rPr>
          <w:rFonts w:hint="eastAsia" w:ascii="仿宋" w:hAnsi="仿宋" w:eastAsia="仿宋" w:cs="仿宋"/>
          <w:kern w:val="0"/>
          <w:sz w:val="32"/>
          <w:szCs w:val="32"/>
        </w:rPr>
        <w:t>万元。与年初预算</w:t>
      </w:r>
      <w:r>
        <w:rPr>
          <w:rFonts w:hint="eastAsia" w:ascii="仿宋" w:hAnsi="仿宋" w:eastAsia="仿宋" w:cs="仿宋"/>
          <w:kern w:val="0"/>
          <w:sz w:val="32"/>
          <w:szCs w:val="32"/>
          <w:u w:val="single"/>
        </w:rPr>
        <w:t xml:space="preserve"> 2,185.23</w:t>
      </w:r>
      <w:r>
        <w:rPr>
          <w:rFonts w:hint="eastAsia" w:ascii="仿宋" w:hAnsi="仿宋" w:eastAsia="仿宋" w:cs="仿宋"/>
          <w:kern w:val="0"/>
          <w:sz w:val="32"/>
          <w:szCs w:val="32"/>
        </w:rPr>
        <w:t>万元相比，完成年初预算的</w:t>
      </w:r>
      <w:r>
        <w:rPr>
          <w:rFonts w:hint="eastAsia" w:ascii="仿宋" w:hAnsi="仿宋" w:eastAsia="仿宋" w:cs="仿宋"/>
          <w:kern w:val="0"/>
          <w:sz w:val="32"/>
          <w:szCs w:val="32"/>
          <w:u w:val="single"/>
        </w:rPr>
        <w:t xml:space="preserve"> 117.44</w:t>
      </w:r>
      <w:r>
        <w:rPr>
          <w:rFonts w:hint="eastAsia" w:ascii="仿宋" w:hAnsi="仿宋" w:eastAsia="仿宋" w:cs="仿宋"/>
          <w:kern w:val="0"/>
          <w:sz w:val="32"/>
          <w:szCs w:val="32"/>
        </w:rPr>
        <w:t>%。其中：</w:t>
      </w:r>
    </w:p>
    <w:p w14:paraId="3680338C">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eastAsia="Times New Roman"/>
          <w:kern w:val="0"/>
          <w:sz w:val="24"/>
        </w:rPr>
      </w:pPr>
      <w:r>
        <w:rPr>
          <w:rFonts w:ascii="kai_ti_gb2312" w:hAnsi="kai_ti_gb2312" w:eastAsia="kai_ti_gb2312" w:cs="kai_ti_gb2312"/>
          <w:b/>
          <w:bCs/>
          <w:kern w:val="0"/>
          <w:sz w:val="27"/>
          <w:szCs w:val="27"/>
        </w:rPr>
        <w:t>  （一）一般公共服务（类）</w:t>
      </w:r>
    </w:p>
    <w:p w14:paraId="59B74ABE">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一般公共服务类决算数为</w:t>
      </w:r>
      <w:r>
        <w:rPr>
          <w:rFonts w:hint="eastAsia" w:ascii="仿宋" w:hAnsi="仿宋" w:eastAsia="仿宋" w:cs="仿宋"/>
          <w:kern w:val="0"/>
          <w:sz w:val="32"/>
          <w:szCs w:val="32"/>
          <w:u w:val="single"/>
        </w:rPr>
        <w:t xml:space="preserve"> 20.49</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14.49</w:t>
      </w:r>
      <w:r>
        <w:rPr>
          <w:rFonts w:hint="eastAsia" w:ascii="仿宋" w:hAnsi="仿宋" w:eastAsia="仿宋" w:cs="仿宋"/>
          <w:kern w:val="0"/>
          <w:sz w:val="32"/>
          <w:szCs w:val="32"/>
        </w:rPr>
        <w:t>万元。其中：</w:t>
      </w:r>
    </w:p>
    <w:p w14:paraId="01DF2847">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1．</w:t>
      </w:r>
      <w:bookmarkStart w:id="3" w:name="OLE_LINK6"/>
      <w:r>
        <w:rPr>
          <w:rFonts w:hint="eastAsia" w:ascii="仿宋" w:hAnsi="仿宋" w:eastAsia="仿宋" w:cs="仿宋"/>
          <w:kern w:val="0"/>
          <w:sz w:val="32"/>
          <w:szCs w:val="32"/>
        </w:rPr>
        <w:t>发展与改革事务（款）一般行政管理事务（项）。年初预算</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15.99 </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 xml:space="preserve"> 100</w:t>
      </w:r>
      <w:r>
        <w:rPr>
          <w:rFonts w:hint="eastAsia" w:ascii="仿宋" w:hAnsi="仿宋" w:eastAsia="仿宋" w:cs="仿宋"/>
          <w:kern w:val="0"/>
          <w:sz w:val="32"/>
          <w:szCs w:val="32"/>
        </w:rPr>
        <w:t>%。决算数与年初预算数的差异原因：</w:t>
      </w:r>
      <w:bookmarkEnd w:id="3"/>
      <w:r>
        <w:rPr>
          <w:rFonts w:hint="eastAsia" w:ascii="仿宋" w:hAnsi="仿宋" w:eastAsia="仿宋" w:cs="仿宋"/>
          <w:kern w:val="0"/>
          <w:sz w:val="32"/>
          <w:szCs w:val="32"/>
        </w:rPr>
        <w:t>年中安排盟级招商引资项目资金。</w:t>
      </w:r>
    </w:p>
    <w:p w14:paraId="53883924">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bookmarkStart w:id="4" w:name="OLE_LINK7"/>
      <w:r>
        <w:rPr>
          <w:rFonts w:hint="eastAsia" w:ascii="仿宋" w:hAnsi="仿宋" w:eastAsia="仿宋" w:cs="仿宋"/>
          <w:kern w:val="0"/>
          <w:sz w:val="32"/>
          <w:szCs w:val="32"/>
        </w:rPr>
        <w:t>2．财政事务（款）其他财政事务支出（项）。年初预算</w:t>
      </w:r>
      <w:r>
        <w:rPr>
          <w:rFonts w:hint="eastAsia" w:ascii="仿宋" w:hAnsi="仿宋" w:eastAsia="仿宋" w:cs="仿宋"/>
          <w:kern w:val="0"/>
          <w:sz w:val="32"/>
          <w:szCs w:val="32"/>
          <w:u w:val="single"/>
        </w:rPr>
        <w:t xml:space="preserve"> 4</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3 </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 xml:space="preserve"> 75.00</w:t>
      </w:r>
      <w:r>
        <w:rPr>
          <w:rFonts w:hint="eastAsia" w:ascii="仿宋" w:hAnsi="仿宋" w:eastAsia="仿宋" w:cs="仿宋"/>
          <w:kern w:val="0"/>
          <w:sz w:val="32"/>
          <w:szCs w:val="32"/>
        </w:rPr>
        <w:t>%。决算数与年初预算数的差异原因：</w:t>
      </w:r>
      <w:r>
        <w:rPr>
          <w:rFonts w:hint="eastAsia" w:ascii="仿宋" w:hAnsi="仿宋" w:eastAsia="仿宋" w:cs="仿宋"/>
          <w:kern w:val="0"/>
          <w:sz w:val="32"/>
          <w:szCs w:val="32"/>
          <w:lang w:eastAsia="zh-CN"/>
        </w:rPr>
        <w:t>项目未完结，</w:t>
      </w:r>
      <w:r>
        <w:rPr>
          <w:rFonts w:hint="eastAsia" w:ascii="仿宋" w:hAnsi="仿宋" w:eastAsia="仿宋" w:cs="仿宋"/>
          <w:kern w:val="0"/>
          <w:sz w:val="32"/>
          <w:szCs w:val="32"/>
        </w:rPr>
        <w:t>劳务费结转1万元，结转下一年继续使用。</w:t>
      </w:r>
      <w:bookmarkEnd w:id="4"/>
    </w:p>
    <w:p w14:paraId="0B06BD57">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3．组织事务（款）其他组织事务支出（项）。年初预算</w:t>
      </w:r>
      <w:r>
        <w:rPr>
          <w:rFonts w:hint="eastAsia" w:ascii="仿宋" w:hAnsi="仿宋" w:eastAsia="仿宋" w:cs="仿宋"/>
          <w:kern w:val="0"/>
          <w:sz w:val="32"/>
          <w:szCs w:val="32"/>
          <w:u w:val="single"/>
        </w:rPr>
        <w:t xml:space="preserve"> 2</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1.5 </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 xml:space="preserve"> 75.00</w:t>
      </w:r>
      <w:r>
        <w:rPr>
          <w:rFonts w:hint="eastAsia" w:ascii="仿宋" w:hAnsi="仿宋" w:eastAsia="仿宋" w:cs="仿宋"/>
          <w:kern w:val="0"/>
          <w:sz w:val="32"/>
          <w:szCs w:val="32"/>
        </w:rPr>
        <w:t>%。决算数与年初预算数的差异原因：项目未完结，差异资金结转下年使用。</w:t>
      </w:r>
    </w:p>
    <w:p w14:paraId="04C77253">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eastAsia="Times New Roman"/>
          <w:kern w:val="0"/>
          <w:sz w:val="32"/>
          <w:szCs w:val="32"/>
        </w:rPr>
      </w:pPr>
      <w:r>
        <w:rPr>
          <w:rFonts w:ascii="kai_ti_gb2312" w:hAnsi="kai_ti_gb2312" w:eastAsia="kai_ti_gb2312" w:cs="kai_ti_gb2312"/>
          <w:b/>
          <w:bCs/>
          <w:kern w:val="0"/>
          <w:sz w:val="32"/>
          <w:szCs w:val="32"/>
        </w:rPr>
        <w:t>（</w:t>
      </w:r>
      <w:r>
        <w:rPr>
          <w:rFonts w:hint="eastAsia" w:ascii="kai_ti_gb2312" w:hAnsi="kai_ti_gb2312" w:cs="kai_ti_gb2312" w:eastAsiaTheme="minorEastAsia"/>
          <w:b/>
          <w:bCs/>
          <w:kern w:val="0"/>
          <w:sz w:val="32"/>
          <w:szCs w:val="32"/>
        </w:rPr>
        <w:t>二</w:t>
      </w:r>
      <w:r>
        <w:rPr>
          <w:rFonts w:ascii="kai_ti_gb2312" w:hAnsi="kai_ti_gb2312" w:eastAsia="kai_ti_gb2312" w:cs="kai_ti_gb2312"/>
          <w:b/>
          <w:bCs/>
          <w:kern w:val="0"/>
          <w:sz w:val="32"/>
          <w:szCs w:val="32"/>
        </w:rPr>
        <w:t>）社会保障和就业支出（类）</w:t>
      </w:r>
    </w:p>
    <w:p w14:paraId="426247A1">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社会保障和就业支出类决算数为</w:t>
      </w:r>
      <w:r>
        <w:rPr>
          <w:rFonts w:hint="eastAsia" w:ascii="仿宋" w:hAnsi="仿宋" w:eastAsia="仿宋" w:cs="仿宋"/>
          <w:kern w:val="0"/>
          <w:sz w:val="32"/>
          <w:szCs w:val="32"/>
          <w:u w:val="single"/>
        </w:rPr>
        <w:t xml:space="preserve"> 251.40</w:t>
      </w:r>
      <w:r>
        <w:rPr>
          <w:rFonts w:hint="eastAsia" w:ascii="仿宋" w:hAnsi="仿宋" w:eastAsia="仿宋" w:cs="仿宋"/>
          <w:kern w:val="0"/>
          <w:sz w:val="32"/>
          <w:szCs w:val="32"/>
        </w:rPr>
        <w:t>万元，与年初预算相比减少</w:t>
      </w:r>
      <w:r>
        <w:rPr>
          <w:rFonts w:hint="eastAsia" w:ascii="仿宋" w:hAnsi="仿宋" w:eastAsia="仿宋" w:cs="仿宋"/>
          <w:kern w:val="0"/>
          <w:sz w:val="32"/>
          <w:szCs w:val="32"/>
          <w:u w:val="single"/>
        </w:rPr>
        <w:t>28.96</w:t>
      </w:r>
      <w:r>
        <w:rPr>
          <w:rFonts w:hint="eastAsia" w:ascii="仿宋" w:hAnsi="仿宋" w:eastAsia="仿宋" w:cs="仿宋"/>
          <w:kern w:val="0"/>
          <w:sz w:val="32"/>
          <w:szCs w:val="32"/>
        </w:rPr>
        <w:t>万元。其中：</w:t>
      </w:r>
    </w:p>
    <w:p w14:paraId="0778ED02">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 人力资源和社会保障管理事务（款）一般行政管理事务（项）。年初预算</w:t>
      </w:r>
      <w:r>
        <w:rPr>
          <w:rFonts w:hint="eastAsia" w:ascii="仿宋" w:hAnsi="仿宋" w:eastAsia="仿宋" w:cs="仿宋"/>
          <w:kern w:val="0"/>
          <w:sz w:val="32"/>
          <w:szCs w:val="32"/>
          <w:u w:val="single"/>
        </w:rPr>
        <w:t>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0.97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100</w:t>
      </w:r>
      <w:r>
        <w:rPr>
          <w:rFonts w:hint="eastAsia" w:ascii="仿宋" w:hAnsi="仿宋" w:eastAsia="仿宋" w:cs="仿宋"/>
          <w:kern w:val="0"/>
          <w:sz w:val="32"/>
          <w:szCs w:val="32"/>
        </w:rPr>
        <w:t>%。决算数与年初预算数的差异原因：年内安排盟级职称评审成本性支出。</w:t>
      </w:r>
    </w:p>
    <w:p w14:paraId="44E804EE">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2．人力资源和社会保障管理事务（款）其他人力资源和社会保障管理事务支出（项）。年初预算</w:t>
      </w:r>
      <w:r>
        <w:rPr>
          <w:rFonts w:hint="eastAsia" w:ascii="仿宋" w:hAnsi="仿宋" w:eastAsia="仿宋" w:cs="仿宋"/>
          <w:kern w:val="0"/>
          <w:sz w:val="32"/>
          <w:szCs w:val="32"/>
          <w:u w:val="single"/>
        </w:rPr>
        <w:t>45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27.22</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60.49</w:t>
      </w:r>
      <w:r>
        <w:rPr>
          <w:rFonts w:hint="eastAsia" w:ascii="仿宋" w:hAnsi="仿宋" w:eastAsia="仿宋" w:cs="仿宋"/>
          <w:kern w:val="0"/>
          <w:sz w:val="32"/>
          <w:szCs w:val="32"/>
        </w:rPr>
        <w:t>%。决算数与年初预算数的差异原因：已举办2期人才培养经费，结转资金按工作任务继续使用。</w:t>
      </w:r>
    </w:p>
    <w:p w14:paraId="6E189A6E">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3.行政事业单位养老支出（款）行政单位离退休（项）。年初预算</w:t>
      </w:r>
      <w:r>
        <w:rPr>
          <w:rFonts w:hint="eastAsia" w:ascii="仿宋" w:hAnsi="仿宋" w:eastAsia="仿宋" w:cs="仿宋"/>
          <w:kern w:val="0"/>
          <w:sz w:val="32"/>
          <w:szCs w:val="32"/>
          <w:u w:val="single"/>
        </w:rPr>
        <w:t>139.20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109.02</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78.32</w:t>
      </w:r>
      <w:r>
        <w:rPr>
          <w:rFonts w:hint="eastAsia" w:ascii="仿宋" w:hAnsi="仿宋" w:eastAsia="仿宋" w:cs="仿宋"/>
          <w:kern w:val="0"/>
          <w:sz w:val="32"/>
          <w:szCs w:val="32"/>
        </w:rPr>
        <w:t>%。决算数与年初预算数的差异原因：离退人员逝世导致差异。</w:t>
      </w:r>
    </w:p>
    <w:p w14:paraId="552E9DA2">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4．行政事业单位养老支出（款）机关事业单位基本养老保险缴费支出（项）。年初预算</w:t>
      </w:r>
      <w:r>
        <w:rPr>
          <w:rFonts w:hint="eastAsia" w:ascii="仿宋" w:hAnsi="仿宋" w:eastAsia="仿宋" w:cs="仿宋"/>
          <w:kern w:val="0"/>
          <w:sz w:val="32"/>
          <w:szCs w:val="32"/>
          <w:u w:val="single"/>
        </w:rPr>
        <w:t>81.15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78.57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96.82</w:t>
      </w:r>
      <w:r>
        <w:rPr>
          <w:rFonts w:hint="eastAsia" w:ascii="仿宋" w:hAnsi="仿宋" w:eastAsia="仿宋" w:cs="仿宋"/>
          <w:kern w:val="0"/>
          <w:sz w:val="32"/>
          <w:szCs w:val="32"/>
        </w:rPr>
        <w:t>%。决算数与年初预算数的差异原因：4名人员退休导致差异。</w:t>
      </w:r>
    </w:p>
    <w:p w14:paraId="46022F94">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5．行政事业单位养老支出（款）机关事业单位职业年金缴费支出（项）。年初预算</w:t>
      </w:r>
      <w:r>
        <w:rPr>
          <w:rFonts w:hint="eastAsia" w:ascii="仿宋" w:hAnsi="仿宋" w:eastAsia="仿宋" w:cs="仿宋"/>
          <w:kern w:val="0"/>
          <w:sz w:val="32"/>
          <w:szCs w:val="32"/>
          <w:u w:val="single"/>
        </w:rPr>
        <w:t>15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35.61</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 xml:space="preserve"> 237.40</w:t>
      </w:r>
      <w:r>
        <w:rPr>
          <w:rFonts w:hint="eastAsia" w:ascii="仿宋" w:hAnsi="仿宋" w:eastAsia="仿宋" w:cs="仿宋"/>
          <w:kern w:val="0"/>
          <w:sz w:val="32"/>
          <w:szCs w:val="32"/>
        </w:rPr>
        <w:t>%。决算数与年初预算数的差异原因：缴纳4名退休人员职业年金，追加职业年金导致。</w:t>
      </w:r>
    </w:p>
    <w:p w14:paraId="1A8C390B">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eastAsia="Times New Roman"/>
          <w:kern w:val="0"/>
          <w:sz w:val="32"/>
          <w:szCs w:val="32"/>
        </w:rPr>
      </w:pPr>
      <w:r>
        <w:rPr>
          <w:rFonts w:ascii="kai_ti_gb2312" w:hAnsi="kai_ti_gb2312" w:eastAsia="kai_ti_gb2312" w:cs="kai_ti_gb2312"/>
          <w:b/>
          <w:bCs/>
          <w:kern w:val="0"/>
          <w:sz w:val="32"/>
          <w:szCs w:val="32"/>
        </w:rPr>
        <w:t>（</w:t>
      </w:r>
      <w:r>
        <w:rPr>
          <w:rFonts w:hint="eastAsia" w:ascii="kai_ti_gb2312" w:hAnsi="kai_ti_gb2312" w:cs="kai_ti_gb2312" w:eastAsiaTheme="minorEastAsia"/>
          <w:b/>
          <w:bCs/>
          <w:kern w:val="0"/>
          <w:sz w:val="32"/>
          <w:szCs w:val="32"/>
        </w:rPr>
        <w:t>三</w:t>
      </w:r>
      <w:r>
        <w:rPr>
          <w:rFonts w:ascii="kai_ti_gb2312" w:hAnsi="kai_ti_gb2312" w:eastAsia="kai_ti_gb2312" w:cs="kai_ti_gb2312"/>
          <w:b/>
          <w:bCs/>
          <w:kern w:val="0"/>
          <w:sz w:val="32"/>
          <w:szCs w:val="32"/>
        </w:rPr>
        <w:t>）卫生健康支出（类）</w:t>
      </w:r>
    </w:p>
    <w:p w14:paraId="429F341E">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卫生健康支出类决算数为</w:t>
      </w:r>
      <w:r>
        <w:rPr>
          <w:rFonts w:hint="eastAsia" w:ascii="仿宋" w:hAnsi="仿宋" w:eastAsia="仿宋" w:cs="仿宋"/>
          <w:kern w:val="0"/>
          <w:sz w:val="32"/>
          <w:szCs w:val="32"/>
          <w:u w:val="single"/>
        </w:rPr>
        <w:t xml:space="preserve"> 93.75</w:t>
      </w:r>
      <w:r>
        <w:rPr>
          <w:rFonts w:hint="eastAsia" w:ascii="仿宋" w:hAnsi="仿宋" w:eastAsia="仿宋" w:cs="仿宋"/>
          <w:kern w:val="0"/>
          <w:sz w:val="32"/>
          <w:szCs w:val="32"/>
        </w:rPr>
        <w:t>万元，与年初预算相比减少</w:t>
      </w:r>
      <w:r>
        <w:rPr>
          <w:rFonts w:hint="eastAsia" w:ascii="仿宋" w:hAnsi="仿宋" w:eastAsia="仿宋" w:cs="仿宋"/>
          <w:kern w:val="0"/>
          <w:sz w:val="32"/>
          <w:szCs w:val="32"/>
          <w:u w:val="single"/>
        </w:rPr>
        <w:t>9.91</w:t>
      </w:r>
      <w:r>
        <w:rPr>
          <w:rFonts w:hint="eastAsia" w:ascii="仿宋" w:hAnsi="仿宋" w:eastAsia="仿宋" w:cs="仿宋"/>
          <w:kern w:val="0"/>
          <w:sz w:val="32"/>
          <w:szCs w:val="32"/>
        </w:rPr>
        <w:t>万元。其中：</w:t>
      </w:r>
    </w:p>
    <w:p w14:paraId="3DBCD23F">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1．行政事业单位医疗（款）行政单位医疗（项）。年初预算</w:t>
      </w:r>
      <w:r>
        <w:rPr>
          <w:rFonts w:hint="eastAsia" w:ascii="仿宋" w:hAnsi="仿宋" w:eastAsia="仿宋" w:cs="仿宋"/>
          <w:kern w:val="0"/>
          <w:sz w:val="32"/>
          <w:szCs w:val="32"/>
          <w:u w:val="single"/>
        </w:rPr>
        <w:t>90.22</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81.36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 xml:space="preserve"> 90.18</w:t>
      </w:r>
      <w:r>
        <w:rPr>
          <w:rFonts w:hint="eastAsia" w:ascii="仿宋" w:hAnsi="仿宋" w:eastAsia="仿宋" w:cs="仿宋"/>
          <w:kern w:val="0"/>
          <w:sz w:val="32"/>
          <w:szCs w:val="32"/>
        </w:rPr>
        <w:t>%。决算数与年初预算数的差异原因：人员退休缴费基数减少导致。</w:t>
      </w:r>
    </w:p>
    <w:p w14:paraId="4E8140ED">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2．行政事业单位医疗（款）公务员医疗补助（项）。年初预算</w:t>
      </w:r>
      <w:r>
        <w:rPr>
          <w:rFonts w:hint="eastAsia" w:ascii="仿宋" w:hAnsi="仿宋" w:eastAsia="仿宋" w:cs="仿宋"/>
          <w:kern w:val="0"/>
          <w:sz w:val="32"/>
          <w:szCs w:val="32"/>
          <w:u w:val="single"/>
        </w:rPr>
        <w:t>13.44</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12.39</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92.19</w:t>
      </w:r>
      <w:r>
        <w:rPr>
          <w:rFonts w:hint="eastAsia" w:ascii="仿宋" w:hAnsi="仿宋" w:eastAsia="仿宋" w:cs="仿宋"/>
          <w:kern w:val="0"/>
          <w:sz w:val="32"/>
          <w:szCs w:val="32"/>
        </w:rPr>
        <w:t>%。决算数与年初预算数的差异原因：人员退休后，基数从在职转为退休，导致差异。</w:t>
      </w:r>
    </w:p>
    <w:p w14:paraId="6A19EB29">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 w:hAnsi="仿宋" w:eastAsia="仿宋" w:cs="仿宋"/>
          <w:b/>
          <w:bCs/>
          <w:kern w:val="0"/>
          <w:sz w:val="32"/>
          <w:szCs w:val="32"/>
        </w:rPr>
      </w:pPr>
      <w:r>
        <w:rPr>
          <w:rFonts w:ascii="kai_ti_gb2312" w:hAnsi="kai_ti_gb2312" w:eastAsia="kai_ti_gb2312" w:cs="kai_ti_gb2312"/>
          <w:b/>
          <w:bCs/>
          <w:kern w:val="0"/>
          <w:sz w:val="27"/>
          <w:szCs w:val="27"/>
        </w:rPr>
        <w:t>   </w:t>
      </w:r>
      <w:r>
        <w:rPr>
          <w:rFonts w:hint="eastAsia" w:ascii="仿宋" w:hAnsi="仿宋" w:eastAsia="仿宋" w:cs="仿宋"/>
          <w:b/>
          <w:bCs/>
          <w:kern w:val="0"/>
          <w:sz w:val="32"/>
          <w:szCs w:val="32"/>
        </w:rPr>
        <w:t xml:space="preserve">（四）农林水支出（类） </w:t>
      </w:r>
    </w:p>
    <w:p w14:paraId="70E1F49F">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b/>
          <w:bCs/>
          <w:kern w:val="0"/>
          <w:sz w:val="32"/>
          <w:szCs w:val="32"/>
        </w:rPr>
      </w:pPr>
      <w:r>
        <w:rPr>
          <w:rFonts w:hint="eastAsia" w:ascii="仿宋" w:hAnsi="仿宋" w:eastAsia="仿宋" w:cs="仿宋"/>
          <w:kern w:val="0"/>
          <w:sz w:val="32"/>
          <w:szCs w:val="32"/>
        </w:rPr>
        <w:t>农林水支出类决算数为</w:t>
      </w:r>
      <w:r>
        <w:rPr>
          <w:rFonts w:hint="eastAsia" w:ascii="仿宋" w:hAnsi="仿宋" w:eastAsia="仿宋" w:cs="仿宋"/>
          <w:kern w:val="0"/>
          <w:sz w:val="32"/>
          <w:szCs w:val="32"/>
          <w:u w:val="single"/>
        </w:rPr>
        <w:t xml:space="preserve"> 2,032.93</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17.91</w:t>
      </w:r>
      <w:r>
        <w:rPr>
          <w:rFonts w:hint="eastAsia" w:ascii="仿宋" w:hAnsi="仿宋" w:eastAsia="仿宋" w:cs="仿宋"/>
          <w:kern w:val="0"/>
          <w:sz w:val="32"/>
          <w:szCs w:val="32"/>
        </w:rPr>
        <w:t>万元。其中：</w:t>
      </w:r>
    </w:p>
    <w:p w14:paraId="3967548F">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1．农业农村（款）行政运行（项）。年初预算</w:t>
      </w:r>
      <w:r>
        <w:rPr>
          <w:rFonts w:hint="eastAsia" w:ascii="仿宋" w:hAnsi="仿宋" w:eastAsia="仿宋" w:cs="仿宋"/>
          <w:kern w:val="0"/>
          <w:sz w:val="32"/>
          <w:szCs w:val="32"/>
          <w:u w:val="single"/>
        </w:rPr>
        <w:t>905.92</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1,245.07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137.44</w:t>
      </w:r>
      <w:r>
        <w:rPr>
          <w:rFonts w:hint="eastAsia" w:ascii="仿宋" w:hAnsi="仿宋" w:eastAsia="仿宋" w:cs="仿宋"/>
          <w:kern w:val="0"/>
          <w:sz w:val="32"/>
          <w:szCs w:val="32"/>
        </w:rPr>
        <w:t>%。决算数与年初预算数的差异原因：3名离休人员2023年</w:t>
      </w:r>
      <w:r>
        <w:rPr>
          <w:rFonts w:hint="eastAsia" w:ascii="仿宋" w:hAnsi="仿宋" w:eastAsia="仿宋" w:cs="仿宋"/>
          <w:kern w:val="0"/>
          <w:sz w:val="32"/>
          <w:szCs w:val="32"/>
          <w:lang w:eastAsia="zh-CN"/>
        </w:rPr>
        <w:t>去世</w:t>
      </w:r>
      <w:r>
        <w:rPr>
          <w:rFonts w:hint="eastAsia" w:ascii="仿宋" w:hAnsi="仿宋" w:eastAsia="仿宋" w:cs="仿宋"/>
          <w:kern w:val="0"/>
          <w:sz w:val="32"/>
          <w:szCs w:val="32"/>
        </w:rPr>
        <w:t>，抚恤金及丧葬费增加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导致</w:t>
      </w:r>
      <w:r>
        <w:rPr>
          <w:rFonts w:hint="eastAsia" w:ascii="仿宋" w:hAnsi="仿宋" w:eastAsia="仿宋" w:cs="仿宋"/>
          <w:kern w:val="0"/>
          <w:sz w:val="32"/>
          <w:szCs w:val="32"/>
          <w:lang w:eastAsia="zh-CN"/>
        </w:rPr>
        <w:t>差异</w:t>
      </w:r>
      <w:r>
        <w:rPr>
          <w:rFonts w:hint="eastAsia" w:ascii="仿宋" w:hAnsi="仿宋" w:eastAsia="仿宋" w:cs="仿宋"/>
          <w:kern w:val="0"/>
          <w:sz w:val="32"/>
          <w:szCs w:val="32"/>
        </w:rPr>
        <w:t>。</w:t>
      </w:r>
    </w:p>
    <w:p w14:paraId="34AC9063">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 农业农村（款）一般行政管理事务（项）。年初预算</w:t>
      </w:r>
      <w:r>
        <w:rPr>
          <w:rFonts w:hint="eastAsia" w:ascii="仿宋" w:hAnsi="仿宋" w:eastAsia="仿宋" w:cs="仿宋"/>
          <w:kern w:val="0"/>
          <w:sz w:val="32"/>
          <w:szCs w:val="32"/>
          <w:u w:val="single"/>
        </w:rPr>
        <w:t>256.19</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273.91</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106.92</w:t>
      </w:r>
      <w:r>
        <w:rPr>
          <w:rFonts w:hint="eastAsia" w:ascii="仿宋" w:hAnsi="仿宋" w:eastAsia="仿宋" w:cs="仿宋"/>
          <w:kern w:val="0"/>
          <w:sz w:val="32"/>
          <w:szCs w:val="32"/>
        </w:rPr>
        <w:t>%。决算数与年初预算数的差异原因：根据《中共内蒙古自治区委员会组织部关于做好第23批“博士服务团”成员接收任用工作的通知》，新增"博士服务团"成员服务锻炼期间生活补助与房屋租赁费，导致决算数与年初预算数有差异。</w:t>
      </w:r>
    </w:p>
    <w:p w14:paraId="519D81AC">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 农业农村（款）科技转化与推广服务（项）。年初预算</w:t>
      </w:r>
      <w:r>
        <w:rPr>
          <w:rFonts w:hint="eastAsia" w:ascii="仿宋" w:hAnsi="仿宋" w:eastAsia="仿宋" w:cs="仿宋"/>
          <w:kern w:val="0"/>
          <w:sz w:val="32"/>
          <w:szCs w:val="32"/>
          <w:u w:val="single"/>
        </w:rPr>
        <w:t>11.84</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21.62</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182.60</w:t>
      </w:r>
      <w:r>
        <w:rPr>
          <w:rFonts w:hint="eastAsia" w:ascii="仿宋" w:hAnsi="仿宋" w:eastAsia="仿宋" w:cs="仿宋"/>
          <w:kern w:val="0"/>
          <w:sz w:val="32"/>
          <w:szCs w:val="32"/>
        </w:rPr>
        <w:t>%。决算数与年初预算数的差异原因：新增自治区2023年度种业振兴资金等项目，导致决算数与年初预算数有差异。</w:t>
      </w:r>
    </w:p>
    <w:p w14:paraId="3EA601A4">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 农业农村（款）病虫害控制（项）。年初预算</w:t>
      </w:r>
      <w:r>
        <w:rPr>
          <w:rFonts w:hint="eastAsia" w:ascii="仿宋" w:hAnsi="仿宋" w:eastAsia="仿宋" w:cs="仿宋"/>
          <w:kern w:val="0"/>
          <w:sz w:val="32"/>
          <w:szCs w:val="32"/>
          <w:u w:val="single"/>
        </w:rPr>
        <w:t>8.58</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24.66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287.41</w:t>
      </w:r>
      <w:r>
        <w:rPr>
          <w:rFonts w:hint="eastAsia" w:ascii="仿宋" w:hAnsi="仿宋" w:eastAsia="仿宋" w:cs="仿宋"/>
          <w:kern w:val="0"/>
          <w:sz w:val="32"/>
          <w:szCs w:val="32"/>
        </w:rPr>
        <w:t>%。决算数与年初预算数的差异原因：新增自治区2023年动物防疫补助资金（第一批）（内财农〔2023〕1751号）等项目，导致决算数与年初预算数有差异。</w:t>
      </w:r>
    </w:p>
    <w:p w14:paraId="75EAB037">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 农业农村（款）农产品质量安全（项）。年初预算</w:t>
      </w:r>
      <w:r>
        <w:rPr>
          <w:rFonts w:hint="eastAsia" w:ascii="仿宋" w:hAnsi="仿宋" w:eastAsia="仿宋" w:cs="仿宋"/>
          <w:kern w:val="0"/>
          <w:sz w:val="32"/>
          <w:szCs w:val="32"/>
          <w:u w:val="single"/>
        </w:rPr>
        <w:t>65.51</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75.63</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115.45</w:t>
      </w:r>
      <w:r>
        <w:rPr>
          <w:rFonts w:hint="eastAsia" w:ascii="仿宋" w:hAnsi="仿宋" w:eastAsia="仿宋" w:cs="仿宋"/>
          <w:kern w:val="0"/>
          <w:sz w:val="32"/>
          <w:szCs w:val="32"/>
        </w:rPr>
        <w:t>%。决算数与年初预算数的差异原因：新增自治区2023年农畜产品质量安全监管检测（内财农〔2022〕1751号）、自治区2023年饲料产品安全监管检测经费（内财农〔2022〕1751号）等项目，导致决算数与年初预算数有差异。</w:t>
      </w:r>
    </w:p>
    <w:p w14:paraId="778C3F46">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6. 农业农村（款）行业业务管理（项）。年初预算</w:t>
      </w:r>
      <w:r>
        <w:rPr>
          <w:rFonts w:hint="eastAsia" w:ascii="仿宋" w:hAnsi="仿宋" w:eastAsia="仿宋" w:cs="仿宋"/>
          <w:kern w:val="0"/>
          <w:sz w:val="32"/>
          <w:szCs w:val="32"/>
          <w:u w:val="single"/>
        </w:rPr>
        <w:t>11.16</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8.76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78.49</w:t>
      </w:r>
      <w:r>
        <w:rPr>
          <w:rFonts w:hint="eastAsia" w:ascii="仿宋" w:hAnsi="仿宋" w:eastAsia="仿宋" w:cs="仿宋"/>
          <w:kern w:val="0"/>
          <w:sz w:val="32"/>
          <w:szCs w:val="32"/>
        </w:rPr>
        <w:t>%。决算数与年初预算数的差异原因：项目未完结，差异资金结转下年使用。</w:t>
      </w:r>
    </w:p>
    <w:p w14:paraId="349DE9A7">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7. 农业农村（款）农业生产发展（项）。年初预算</w:t>
      </w:r>
      <w:r>
        <w:rPr>
          <w:rFonts w:hint="eastAsia" w:ascii="仿宋" w:hAnsi="仿宋" w:eastAsia="仿宋" w:cs="仿宋"/>
          <w:kern w:val="0"/>
          <w:sz w:val="32"/>
          <w:szCs w:val="32"/>
          <w:u w:val="single"/>
        </w:rPr>
        <w:t>689.55</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328.44</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47.63%</w:t>
      </w:r>
      <w:r>
        <w:rPr>
          <w:rFonts w:hint="eastAsia" w:ascii="仿宋" w:hAnsi="仿宋" w:eastAsia="仿宋" w:cs="仿宋"/>
          <w:kern w:val="0"/>
          <w:sz w:val="32"/>
          <w:szCs w:val="32"/>
        </w:rPr>
        <w:t>。决算数与年初预算数的差异原因：项目未完结，差异资金结转下年使用。</w:t>
      </w:r>
    </w:p>
    <w:p w14:paraId="182CD906">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8. 农业农村（款）农产品加工与促销（项）。年初预算</w:t>
      </w:r>
      <w:r>
        <w:rPr>
          <w:rFonts w:hint="eastAsia" w:ascii="仿宋" w:hAnsi="仿宋" w:eastAsia="仿宋" w:cs="仿宋"/>
          <w:kern w:val="0"/>
          <w:sz w:val="32"/>
          <w:szCs w:val="32"/>
          <w:u w:val="single"/>
        </w:rPr>
        <w:t>26.01</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23.30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89.58</w:t>
      </w:r>
      <w:r>
        <w:rPr>
          <w:rFonts w:hint="eastAsia" w:ascii="仿宋" w:hAnsi="仿宋" w:eastAsia="仿宋" w:cs="仿宋"/>
          <w:kern w:val="0"/>
          <w:sz w:val="32"/>
          <w:szCs w:val="32"/>
        </w:rPr>
        <w:t>%。决算数与年初预算数的差异原因：项目未完结，差异资金结转下年使用。</w:t>
      </w:r>
    </w:p>
    <w:p w14:paraId="50E7F466">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9. 农业农村（款）农村社会事业（项）。年初预算</w:t>
      </w:r>
      <w:r>
        <w:rPr>
          <w:rFonts w:hint="eastAsia" w:ascii="仿宋" w:hAnsi="仿宋" w:eastAsia="仿宋" w:cs="仿宋"/>
          <w:kern w:val="0"/>
          <w:sz w:val="32"/>
          <w:szCs w:val="32"/>
          <w:u w:val="single"/>
        </w:rPr>
        <w:t>0.50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0.50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100</w:t>
      </w:r>
      <w:r>
        <w:rPr>
          <w:rFonts w:hint="eastAsia" w:ascii="仿宋" w:hAnsi="仿宋" w:eastAsia="仿宋" w:cs="仿宋"/>
          <w:kern w:val="0"/>
          <w:sz w:val="32"/>
          <w:szCs w:val="32"/>
        </w:rPr>
        <w:t>%。决算数与年初预算数的差异原因：无。</w:t>
      </w:r>
    </w:p>
    <w:p w14:paraId="0A7647F1">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10. 农业农村（款）农业资源保护修复与利用（项）。年初预算</w:t>
      </w:r>
      <w:r>
        <w:rPr>
          <w:rFonts w:hint="eastAsia" w:ascii="仿宋" w:hAnsi="仿宋" w:eastAsia="仿宋" w:cs="仿宋"/>
          <w:kern w:val="0"/>
          <w:sz w:val="32"/>
          <w:szCs w:val="32"/>
          <w:u w:val="single"/>
        </w:rPr>
        <w:t>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0.99</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100</w:t>
      </w:r>
      <w:r>
        <w:rPr>
          <w:rFonts w:hint="eastAsia" w:ascii="仿宋" w:hAnsi="仿宋" w:eastAsia="仿宋" w:cs="仿宋"/>
          <w:kern w:val="0"/>
          <w:sz w:val="32"/>
          <w:szCs w:val="32"/>
        </w:rPr>
        <w:t>%。决算数与年初预算数的差异原因：新增自治区2023年外来入侵物种普查经费（内财农〔2022〕1751号）0.99万元导致。</w:t>
      </w:r>
    </w:p>
    <w:p w14:paraId="683B91D6">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11. 农业农村（款）渔业发展（项）。年初预算</w:t>
      </w:r>
      <w:r>
        <w:rPr>
          <w:rFonts w:hint="eastAsia" w:ascii="仿宋" w:hAnsi="仿宋" w:eastAsia="仿宋" w:cs="仿宋"/>
          <w:kern w:val="0"/>
          <w:sz w:val="32"/>
          <w:szCs w:val="32"/>
          <w:u w:val="single"/>
        </w:rPr>
        <w:t>7.53</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4.18</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55.51</w:t>
      </w:r>
      <w:r>
        <w:rPr>
          <w:rFonts w:hint="eastAsia" w:ascii="仿宋" w:hAnsi="仿宋" w:eastAsia="仿宋" w:cs="仿宋"/>
          <w:kern w:val="0"/>
          <w:sz w:val="32"/>
          <w:szCs w:val="32"/>
        </w:rPr>
        <w:t>%。决算数与年初预算数的差异原因：项目未完结，差异资金结转下年使用。</w:t>
      </w:r>
    </w:p>
    <w:p w14:paraId="713AEF42">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12. 农业农村（款）农田建设（项）。年初预算</w:t>
      </w:r>
      <w:r>
        <w:rPr>
          <w:rFonts w:hint="eastAsia" w:ascii="仿宋" w:hAnsi="仿宋" w:eastAsia="仿宋" w:cs="仿宋"/>
          <w:kern w:val="0"/>
          <w:sz w:val="32"/>
          <w:szCs w:val="32"/>
          <w:u w:val="single"/>
        </w:rPr>
        <w:t>3.00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0.94</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31.33</w:t>
      </w:r>
      <w:r>
        <w:rPr>
          <w:rFonts w:hint="eastAsia" w:ascii="仿宋" w:hAnsi="仿宋" w:eastAsia="仿宋" w:cs="仿宋"/>
          <w:kern w:val="0"/>
          <w:sz w:val="32"/>
          <w:szCs w:val="32"/>
        </w:rPr>
        <w:t>%。决算数与年初预算数的差异原因：项目未完结，差异资金结转下年使用。</w:t>
      </w:r>
    </w:p>
    <w:p w14:paraId="128520D0">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13. 农业农村（款）其他农业农村支出（项）。年初预算</w:t>
      </w:r>
      <w:r>
        <w:rPr>
          <w:rFonts w:hint="eastAsia" w:ascii="仿宋" w:hAnsi="仿宋" w:eastAsia="仿宋" w:cs="仿宋"/>
          <w:kern w:val="0"/>
          <w:sz w:val="32"/>
          <w:szCs w:val="32"/>
          <w:u w:val="single"/>
        </w:rPr>
        <w:t>29.23</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24.79</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84.81</w:t>
      </w:r>
      <w:r>
        <w:rPr>
          <w:rFonts w:hint="eastAsia" w:ascii="仿宋" w:hAnsi="仿宋" w:eastAsia="仿宋" w:cs="仿宋"/>
          <w:kern w:val="0"/>
          <w:sz w:val="32"/>
          <w:szCs w:val="32"/>
        </w:rPr>
        <w:t>%。决算数与年初预算数的差异原因：2021年奶业振兴项目资金（21结转）项目公务用车运行维护费结余4.44万元已上缴财政。</w:t>
      </w:r>
    </w:p>
    <w:p w14:paraId="02C5C25E">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14. 普惠金融发展支出（款）其他普惠金融发展支出（项）。年初预算</w:t>
      </w:r>
      <w:r>
        <w:rPr>
          <w:rFonts w:hint="eastAsia" w:ascii="仿宋" w:hAnsi="仿宋" w:eastAsia="仿宋" w:cs="仿宋"/>
          <w:kern w:val="0"/>
          <w:sz w:val="32"/>
          <w:szCs w:val="32"/>
          <w:u w:val="single"/>
        </w:rPr>
        <w:t>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0.14</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100</w:t>
      </w:r>
      <w:r>
        <w:rPr>
          <w:rFonts w:hint="eastAsia" w:ascii="仿宋" w:hAnsi="仿宋" w:eastAsia="仿宋" w:cs="仿宋"/>
          <w:kern w:val="0"/>
          <w:sz w:val="32"/>
          <w:szCs w:val="32"/>
        </w:rPr>
        <w:t>%。决算数与年初预算数的差异原因：新增2023年政策性农业（肉羊）保险工作经费0.14万元导致。</w:t>
      </w:r>
    </w:p>
    <w:p w14:paraId="712B132C">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kai_ti_gb2312" w:hAnsi="kai_ti_gb2312" w:cs="kai_ti_gb2312" w:eastAsiaTheme="minorEastAsia"/>
          <w:b/>
          <w:bCs/>
          <w:kern w:val="0"/>
          <w:sz w:val="32"/>
          <w:szCs w:val="32"/>
        </w:rPr>
      </w:pPr>
      <w:r>
        <w:rPr>
          <w:rFonts w:ascii="kai_ti_gb2312" w:hAnsi="kai_ti_gb2312" w:eastAsia="kai_ti_gb2312" w:cs="kai_ti_gb2312"/>
          <w:b/>
          <w:bCs/>
          <w:kern w:val="0"/>
          <w:sz w:val="32"/>
          <w:szCs w:val="32"/>
        </w:rPr>
        <w:t>（</w:t>
      </w:r>
      <w:r>
        <w:rPr>
          <w:rFonts w:hint="eastAsia" w:ascii="kai_ti_gb2312" w:hAnsi="kai_ti_gb2312" w:cs="kai_ti_gb2312" w:eastAsiaTheme="minorEastAsia"/>
          <w:b/>
          <w:bCs/>
          <w:kern w:val="0"/>
          <w:sz w:val="32"/>
          <w:szCs w:val="32"/>
        </w:rPr>
        <w:t>五</w:t>
      </w:r>
      <w:r>
        <w:rPr>
          <w:rFonts w:ascii="kai_ti_gb2312" w:hAnsi="kai_ti_gb2312" w:eastAsia="kai_ti_gb2312" w:cs="kai_ti_gb2312"/>
          <w:b/>
          <w:bCs/>
          <w:kern w:val="0"/>
          <w:sz w:val="32"/>
          <w:szCs w:val="32"/>
        </w:rPr>
        <w:t>）</w:t>
      </w:r>
      <w:r>
        <w:rPr>
          <w:rFonts w:hint="eastAsia" w:ascii="kai_ti_gb2312" w:hAnsi="kai_ti_gb2312" w:eastAsia="kai_ti_gb2312" w:cs="kai_ti_gb2312"/>
          <w:b/>
          <w:bCs/>
          <w:kern w:val="0"/>
          <w:sz w:val="32"/>
          <w:szCs w:val="32"/>
        </w:rPr>
        <w:t>自然资源海洋气象等支出</w:t>
      </w:r>
      <w:r>
        <w:rPr>
          <w:rFonts w:ascii="kai_ti_gb2312" w:hAnsi="kai_ti_gb2312" w:eastAsia="kai_ti_gb2312" w:cs="kai_ti_gb2312"/>
          <w:b/>
          <w:bCs/>
          <w:kern w:val="0"/>
          <w:sz w:val="32"/>
          <w:szCs w:val="32"/>
        </w:rPr>
        <w:t>（类）</w:t>
      </w:r>
    </w:p>
    <w:p w14:paraId="261912F9">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bCs/>
          <w:kern w:val="0"/>
          <w:sz w:val="32"/>
          <w:szCs w:val="32"/>
        </w:rPr>
        <w:t>自然资源海洋气象等支出</w:t>
      </w:r>
      <w:r>
        <w:rPr>
          <w:rFonts w:hint="eastAsia" w:ascii="仿宋" w:hAnsi="仿宋" w:eastAsia="仿宋" w:cs="仿宋"/>
          <w:kern w:val="0"/>
          <w:sz w:val="32"/>
          <w:szCs w:val="32"/>
        </w:rPr>
        <w:t>类决算数为</w:t>
      </w:r>
      <w:r>
        <w:rPr>
          <w:rFonts w:hint="eastAsia" w:ascii="仿宋" w:hAnsi="仿宋" w:eastAsia="仿宋" w:cs="仿宋"/>
          <w:kern w:val="0"/>
          <w:sz w:val="32"/>
          <w:szCs w:val="32"/>
          <w:u w:val="single"/>
        </w:rPr>
        <w:t>29.46</w:t>
      </w:r>
      <w:r>
        <w:rPr>
          <w:rFonts w:hint="eastAsia" w:ascii="仿宋" w:hAnsi="仿宋" w:eastAsia="仿宋" w:cs="仿宋"/>
          <w:kern w:val="0"/>
          <w:sz w:val="32"/>
          <w:szCs w:val="32"/>
        </w:rPr>
        <w:t>万元，与年初预算相比减少</w:t>
      </w:r>
      <w:r>
        <w:rPr>
          <w:rFonts w:hint="eastAsia" w:ascii="仿宋" w:hAnsi="仿宋" w:eastAsia="仿宋" w:cs="仿宋"/>
          <w:kern w:val="0"/>
          <w:sz w:val="32"/>
          <w:szCs w:val="32"/>
          <w:u w:val="single"/>
        </w:rPr>
        <w:t>0.54</w:t>
      </w:r>
      <w:r>
        <w:rPr>
          <w:rFonts w:hint="eastAsia" w:ascii="仿宋" w:hAnsi="仿宋" w:eastAsia="仿宋" w:cs="仿宋"/>
          <w:kern w:val="0"/>
          <w:sz w:val="32"/>
          <w:szCs w:val="32"/>
        </w:rPr>
        <w:t>万元。其中：</w:t>
      </w:r>
    </w:p>
    <w:p w14:paraId="6EC5405B">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 自然资源事务（款）其他自然资源事务支出（项）。年初预算</w:t>
      </w:r>
      <w:r>
        <w:rPr>
          <w:rFonts w:hint="eastAsia" w:ascii="仿宋" w:hAnsi="仿宋" w:eastAsia="仿宋" w:cs="仿宋"/>
          <w:kern w:val="0"/>
          <w:sz w:val="32"/>
          <w:szCs w:val="32"/>
          <w:u w:val="single"/>
        </w:rPr>
        <w:t>30.00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29.46</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98.20</w:t>
      </w:r>
      <w:r>
        <w:rPr>
          <w:rFonts w:hint="eastAsia" w:ascii="仿宋" w:hAnsi="仿宋" w:eastAsia="仿宋" w:cs="仿宋"/>
          <w:kern w:val="0"/>
          <w:sz w:val="32"/>
          <w:szCs w:val="32"/>
        </w:rPr>
        <w:t>%。决算数与年初预算数的差异原因：全民所有自然资源资产所有权委托代理机制试点工作经费项目差旅费剩余0.54万元未使用。</w:t>
      </w:r>
    </w:p>
    <w:p w14:paraId="636F6A27">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eastAsia="Times New Roman"/>
          <w:kern w:val="0"/>
          <w:sz w:val="32"/>
          <w:szCs w:val="32"/>
        </w:rPr>
      </w:pPr>
      <w:r>
        <w:rPr>
          <w:rFonts w:ascii="kai_ti_gb2312" w:hAnsi="kai_ti_gb2312" w:eastAsia="kai_ti_gb2312" w:cs="kai_ti_gb2312"/>
          <w:b/>
          <w:bCs/>
          <w:kern w:val="0"/>
          <w:sz w:val="32"/>
          <w:szCs w:val="32"/>
        </w:rPr>
        <w:t>（</w:t>
      </w:r>
      <w:r>
        <w:rPr>
          <w:rFonts w:hint="eastAsia" w:ascii="kai_ti_gb2312" w:hAnsi="kai_ti_gb2312" w:cs="kai_ti_gb2312" w:eastAsiaTheme="minorEastAsia"/>
          <w:b/>
          <w:bCs/>
          <w:kern w:val="0"/>
          <w:sz w:val="32"/>
          <w:szCs w:val="32"/>
        </w:rPr>
        <w:t>六</w:t>
      </w:r>
      <w:r>
        <w:rPr>
          <w:rFonts w:ascii="kai_ti_gb2312" w:hAnsi="kai_ti_gb2312" w:eastAsia="kai_ti_gb2312" w:cs="kai_ti_gb2312"/>
          <w:b/>
          <w:bCs/>
          <w:kern w:val="0"/>
          <w:sz w:val="32"/>
          <w:szCs w:val="32"/>
        </w:rPr>
        <w:t>）住房保障支出（类）</w:t>
      </w:r>
    </w:p>
    <w:p w14:paraId="2A467B82">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住房保障支出类决算数为</w:t>
      </w:r>
      <w:r>
        <w:rPr>
          <w:rFonts w:hint="eastAsia" w:ascii="仿宋" w:hAnsi="仿宋" w:eastAsia="仿宋" w:cs="仿宋"/>
          <w:kern w:val="0"/>
          <w:sz w:val="32"/>
          <w:szCs w:val="32"/>
          <w:u w:val="single"/>
        </w:rPr>
        <w:t xml:space="preserve"> 91.56</w:t>
      </w:r>
      <w:r>
        <w:rPr>
          <w:rFonts w:hint="eastAsia" w:ascii="仿宋" w:hAnsi="仿宋" w:eastAsia="仿宋" w:cs="仿宋"/>
          <w:kern w:val="0"/>
          <w:sz w:val="32"/>
          <w:szCs w:val="32"/>
        </w:rPr>
        <w:t>万元，与年初预算相比增加</w:t>
      </w:r>
      <w:r>
        <w:rPr>
          <w:rFonts w:hint="eastAsia" w:ascii="仿宋" w:hAnsi="仿宋" w:eastAsia="仿宋" w:cs="仿宋"/>
          <w:kern w:val="0"/>
          <w:sz w:val="32"/>
          <w:szCs w:val="32"/>
          <w:u w:val="single"/>
        </w:rPr>
        <w:t>0.04</w:t>
      </w:r>
      <w:r>
        <w:rPr>
          <w:rFonts w:hint="eastAsia" w:ascii="仿宋" w:hAnsi="仿宋" w:eastAsia="仿宋" w:cs="仿宋"/>
          <w:kern w:val="0"/>
          <w:sz w:val="32"/>
          <w:szCs w:val="32"/>
        </w:rPr>
        <w:t>万元。其中：</w:t>
      </w:r>
    </w:p>
    <w:p w14:paraId="02F82ADA">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1．住房改革支出（款）住房公积金（项）。年初预算</w:t>
      </w:r>
      <w:r>
        <w:rPr>
          <w:rFonts w:hint="eastAsia" w:ascii="仿宋" w:hAnsi="仿宋" w:eastAsia="仿宋" w:cs="仿宋"/>
          <w:kern w:val="0"/>
          <w:sz w:val="32"/>
          <w:szCs w:val="32"/>
          <w:u w:val="single"/>
        </w:rPr>
        <w:t>78.04</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74.63</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95.63</w:t>
      </w:r>
      <w:r>
        <w:rPr>
          <w:rFonts w:hint="eastAsia" w:ascii="仿宋" w:hAnsi="仿宋" w:eastAsia="仿宋" w:cs="仿宋"/>
          <w:kern w:val="0"/>
          <w:sz w:val="32"/>
          <w:szCs w:val="32"/>
        </w:rPr>
        <w:t>%。决算数与年初预算数的差异原因：4名人员退休导致差异。</w:t>
      </w:r>
    </w:p>
    <w:p w14:paraId="70511000">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 住房改革支出（款）购房补贴（项）。年初预算</w:t>
      </w:r>
      <w:r>
        <w:rPr>
          <w:rFonts w:hint="eastAsia" w:ascii="仿宋" w:hAnsi="仿宋" w:eastAsia="仿宋" w:cs="仿宋"/>
          <w:kern w:val="0"/>
          <w:sz w:val="32"/>
          <w:szCs w:val="32"/>
          <w:u w:val="single"/>
        </w:rPr>
        <w:t>13.48</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16.93</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125.59</w:t>
      </w:r>
      <w:r>
        <w:rPr>
          <w:rFonts w:hint="eastAsia" w:ascii="仿宋" w:hAnsi="仿宋" w:eastAsia="仿宋" w:cs="仿宋"/>
          <w:kern w:val="0"/>
          <w:sz w:val="32"/>
          <w:szCs w:val="32"/>
        </w:rPr>
        <w:t>%。决算数与年初预算数的差异原因：2023年在职人员新调入2名。</w:t>
      </w:r>
    </w:p>
    <w:p w14:paraId="314F78DF">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kai_ti_gb2312" w:hAnsi="kai_ti_gb2312" w:cs="kai_ti_gb2312" w:eastAsiaTheme="minorEastAsia"/>
          <w:b/>
          <w:bCs/>
          <w:kern w:val="0"/>
          <w:sz w:val="32"/>
          <w:szCs w:val="32"/>
        </w:rPr>
      </w:pPr>
      <w:r>
        <w:rPr>
          <w:rFonts w:ascii="kai_ti_gb2312" w:hAnsi="kai_ti_gb2312" w:eastAsia="kai_ti_gb2312" w:cs="kai_ti_gb2312"/>
          <w:b/>
          <w:bCs/>
          <w:kern w:val="0"/>
          <w:sz w:val="32"/>
          <w:szCs w:val="32"/>
        </w:rPr>
        <w:t>（</w:t>
      </w:r>
      <w:r>
        <w:rPr>
          <w:rFonts w:hint="eastAsia" w:ascii="kai_ti_gb2312" w:hAnsi="kai_ti_gb2312" w:cs="kai_ti_gb2312" w:eastAsiaTheme="minorEastAsia"/>
          <w:b/>
          <w:bCs/>
          <w:kern w:val="0"/>
          <w:sz w:val="32"/>
          <w:szCs w:val="32"/>
        </w:rPr>
        <w:t>七</w:t>
      </w:r>
      <w:r>
        <w:rPr>
          <w:rFonts w:ascii="kai_ti_gb2312" w:hAnsi="kai_ti_gb2312" w:eastAsia="kai_ti_gb2312" w:cs="kai_ti_gb2312"/>
          <w:b/>
          <w:bCs/>
          <w:kern w:val="0"/>
          <w:sz w:val="32"/>
          <w:szCs w:val="32"/>
        </w:rPr>
        <w:t>）</w:t>
      </w:r>
      <w:r>
        <w:rPr>
          <w:rFonts w:hint="eastAsia" w:ascii="kai_ti_gb2312" w:hAnsi="kai_ti_gb2312" w:eastAsia="kai_ti_gb2312" w:cs="kai_ti_gb2312"/>
          <w:b/>
          <w:bCs/>
          <w:kern w:val="0"/>
          <w:sz w:val="32"/>
          <w:szCs w:val="32"/>
        </w:rPr>
        <w:t>其他支出</w:t>
      </w:r>
      <w:r>
        <w:rPr>
          <w:rFonts w:ascii="kai_ti_gb2312" w:hAnsi="kai_ti_gb2312" w:eastAsia="kai_ti_gb2312" w:cs="kai_ti_gb2312"/>
          <w:b/>
          <w:bCs/>
          <w:kern w:val="0"/>
          <w:sz w:val="32"/>
          <w:szCs w:val="32"/>
        </w:rPr>
        <w:t>（类）</w:t>
      </w:r>
    </w:p>
    <w:p w14:paraId="326C9791">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其他支出类决算数为</w:t>
      </w:r>
      <w:r>
        <w:rPr>
          <w:rFonts w:hint="eastAsia" w:ascii="仿宋" w:hAnsi="仿宋" w:eastAsia="仿宋" w:cs="仿宋"/>
          <w:kern w:val="0"/>
          <w:sz w:val="32"/>
          <w:szCs w:val="32"/>
          <w:u w:val="single"/>
        </w:rPr>
        <w:t xml:space="preserve"> 46.67</w:t>
      </w:r>
      <w:r>
        <w:rPr>
          <w:rFonts w:hint="eastAsia" w:ascii="仿宋" w:hAnsi="仿宋" w:eastAsia="仿宋" w:cs="仿宋"/>
          <w:kern w:val="0"/>
          <w:sz w:val="32"/>
          <w:szCs w:val="32"/>
        </w:rPr>
        <w:t>万元，与年初预算相比减少</w:t>
      </w:r>
      <w:r>
        <w:rPr>
          <w:rFonts w:hint="eastAsia" w:ascii="仿宋" w:hAnsi="仿宋" w:eastAsia="仿宋" w:cs="仿宋"/>
          <w:kern w:val="0"/>
          <w:sz w:val="32"/>
          <w:szCs w:val="32"/>
          <w:u w:val="single"/>
        </w:rPr>
        <w:t>3.00</w:t>
      </w:r>
      <w:r>
        <w:rPr>
          <w:rFonts w:hint="eastAsia" w:ascii="仿宋" w:hAnsi="仿宋" w:eastAsia="仿宋" w:cs="仿宋"/>
          <w:kern w:val="0"/>
          <w:sz w:val="32"/>
          <w:szCs w:val="32"/>
        </w:rPr>
        <w:t>万元。其中：</w:t>
      </w:r>
    </w:p>
    <w:p w14:paraId="0E123172">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 其他支出（款）其他支出（项）。年初预算</w:t>
      </w:r>
      <w:r>
        <w:rPr>
          <w:rFonts w:hint="eastAsia" w:ascii="仿宋" w:hAnsi="仿宋" w:eastAsia="仿宋" w:cs="仿宋"/>
          <w:kern w:val="0"/>
          <w:sz w:val="32"/>
          <w:szCs w:val="32"/>
          <w:u w:val="single"/>
        </w:rPr>
        <w:t>49.67</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46.67</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u w:val="single"/>
        </w:rPr>
        <w:t>93.96</w:t>
      </w:r>
      <w:r>
        <w:rPr>
          <w:rFonts w:hint="eastAsia" w:ascii="仿宋" w:hAnsi="仿宋" w:eastAsia="仿宋" w:cs="仿宋"/>
          <w:kern w:val="0"/>
          <w:sz w:val="32"/>
          <w:szCs w:val="32"/>
        </w:rPr>
        <w:t>%。决算数与年初预算数的差异原因：项目未完结，差异资金结转下年使用。</w:t>
      </w:r>
    </w:p>
    <w:p w14:paraId="5F52F836">
      <w:pPr>
        <w:widowControl/>
        <w:spacing w:before="240" w:after="240"/>
        <w:jc w:val="left"/>
        <w:rPr>
          <w:rFonts w:eastAsia="Times New Roman"/>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六、一般公共预算财政拨款基本支出决算情况说明</w:t>
      </w:r>
    </w:p>
    <w:p w14:paraId="7CE6986A">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w:t>
      </w: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锡林郭勒盟农牧局（本级）2023年度一般公共预算财政拨款基本支出决算</w:t>
      </w:r>
      <w:r>
        <w:rPr>
          <w:rFonts w:hint="eastAsia" w:ascii="仿宋" w:hAnsi="仿宋" w:eastAsia="仿宋" w:cs="仿宋"/>
          <w:kern w:val="0"/>
          <w:sz w:val="32"/>
          <w:szCs w:val="32"/>
          <w:u w:val="single"/>
        </w:rPr>
        <w:t xml:space="preserve"> 1,653.59</w:t>
      </w:r>
      <w:r>
        <w:rPr>
          <w:rFonts w:hint="eastAsia" w:ascii="仿宋" w:hAnsi="仿宋" w:eastAsia="仿宋" w:cs="仿宋"/>
          <w:kern w:val="0"/>
          <w:sz w:val="32"/>
          <w:szCs w:val="32"/>
        </w:rPr>
        <w:t>万元，其中：</w:t>
      </w:r>
    </w:p>
    <w:p w14:paraId="63158CEA">
      <w:pPr>
        <w:widowControl/>
        <w:spacing w:before="240" w:after="240"/>
        <w:rPr>
          <w:rFonts w:hint="eastAsia" w:ascii="仿宋" w:hAnsi="仿宋" w:eastAsia="仿宋" w:cs="仿宋"/>
          <w:kern w:val="0"/>
          <w:sz w:val="32"/>
          <w:szCs w:val="32"/>
        </w:rPr>
      </w:pPr>
      <w:r>
        <w:rPr>
          <w:rFonts w:hint="eastAsia" w:ascii="仿宋" w:hAnsi="仿宋" w:eastAsia="仿宋" w:cs="仿宋"/>
          <w:b/>
          <w:bCs/>
          <w:kern w:val="0"/>
          <w:sz w:val="32"/>
          <w:szCs w:val="32"/>
        </w:rPr>
        <w:t>    （一）人员经费</w:t>
      </w:r>
      <w:r>
        <w:rPr>
          <w:rFonts w:hint="eastAsia" w:ascii="仿宋" w:hAnsi="仿宋" w:eastAsia="仿宋" w:cs="仿宋"/>
          <w:kern w:val="0"/>
          <w:sz w:val="32"/>
          <w:szCs w:val="32"/>
          <w:u w:val="single"/>
        </w:rPr>
        <w:t xml:space="preserve"> 1,493.08</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基本工资239.55万元、津贴补贴282.86万元、奖金77.60万元、机关事业单位基本养老保险缴费78.57万元、职业年金缴费35.61万元、职工基本医疗保险缴费29.42万元、公务员医疗补助缴费4.49万元、其他社会保障缴费9.78万元、住房公积金74.63万元、其他工资福利支出124.07万元、离休费13.69万元、退休费95.03万元、抚恤金340.81万元、生活补助26.57万元、医疗费补助60.02万元、其他对个人和家庭的补助支出0.39万元。</w:t>
      </w:r>
    </w:p>
    <w:p w14:paraId="726CCB8F">
      <w:pPr>
        <w:widowControl/>
        <w:spacing w:before="240" w:after="240"/>
        <w:rPr>
          <w:rFonts w:hint="eastAsia" w:ascii="仿宋" w:hAnsi="仿宋" w:eastAsia="仿宋" w:cs="仿宋"/>
          <w:kern w:val="0"/>
          <w:sz w:val="32"/>
          <w:szCs w:val="32"/>
        </w:rPr>
      </w:pPr>
      <w:r>
        <w:rPr>
          <w:rFonts w:hint="eastAsia" w:ascii="仿宋" w:hAnsi="仿宋" w:eastAsia="仿宋" w:cs="仿宋"/>
          <w:b/>
          <w:bCs/>
          <w:kern w:val="0"/>
          <w:sz w:val="32"/>
          <w:szCs w:val="32"/>
        </w:rPr>
        <w:t>    （二）公用经费</w:t>
      </w:r>
      <w:r>
        <w:rPr>
          <w:rFonts w:hint="eastAsia" w:ascii="仿宋" w:hAnsi="仿宋" w:eastAsia="仿宋" w:cs="仿宋"/>
          <w:kern w:val="0"/>
          <w:sz w:val="32"/>
          <w:szCs w:val="32"/>
          <w:u w:val="single"/>
        </w:rPr>
        <w:t xml:space="preserve"> 160.51</w:t>
      </w:r>
      <w:r>
        <w:rPr>
          <w:rFonts w:hint="eastAsia" w:ascii="仿宋" w:hAnsi="仿宋" w:eastAsia="仿宋" w:cs="仿宋"/>
          <w:b/>
          <w:bCs/>
          <w:kern w:val="0"/>
          <w:sz w:val="32"/>
          <w:szCs w:val="32"/>
        </w:rPr>
        <w:t>万元</w:t>
      </w:r>
      <w:r>
        <w:rPr>
          <w:rFonts w:hint="eastAsia" w:ascii="仿宋" w:hAnsi="仿宋" w:eastAsia="仿宋" w:cs="仿宋"/>
          <w:kern w:val="0"/>
          <w:sz w:val="32"/>
          <w:szCs w:val="32"/>
        </w:rPr>
        <w:t>。主要包括：手续费0.10万元、水费4.61万元、电费6.50万元、邮电费1.50万元、取暖费7.40万元、物业管理费25.12万元、差旅费4.00万元、公务接待费3.50万元、工会经费12.66万元、福利费10.79万元、公务用车运行维护费37.33万元、其他交通费用45.70万元、其他商品和服务支出1.31万元。</w:t>
      </w:r>
    </w:p>
    <w:p w14:paraId="38154B97">
      <w:pPr>
        <w:widowControl/>
        <w:spacing w:before="240" w:after="240"/>
        <w:rPr>
          <w:rFonts w:eastAsia="Times New Roman"/>
          <w:kern w:val="0"/>
          <w:sz w:val="32"/>
          <w:szCs w:val="32"/>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七、一般公共预算财政拨款项目支出决算情况说明</w:t>
      </w:r>
    </w:p>
    <w:p w14:paraId="00CC3A14">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w:t>
      </w: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锡林郭勒盟农牧局（本级）2023年度一般公共预算财政拨款项目支出决算</w:t>
      </w:r>
      <w:r>
        <w:rPr>
          <w:rFonts w:hint="eastAsia" w:ascii="仿宋" w:hAnsi="仿宋" w:eastAsia="仿宋" w:cs="仿宋"/>
          <w:kern w:val="0"/>
          <w:sz w:val="32"/>
          <w:szCs w:val="32"/>
          <w:u w:val="single"/>
        </w:rPr>
        <w:t xml:space="preserve"> 912.67</w:t>
      </w:r>
      <w:r>
        <w:rPr>
          <w:rFonts w:hint="eastAsia" w:ascii="仿宋" w:hAnsi="仿宋" w:eastAsia="仿宋" w:cs="仿宋"/>
          <w:kern w:val="0"/>
          <w:sz w:val="32"/>
          <w:szCs w:val="32"/>
        </w:rPr>
        <w:t>万元，其中：</w:t>
      </w:r>
    </w:p>
    <w:p w14:paraId="4F67C21D">
      <w:pPr>
        <w:widowControl/>
        <w:spacing w:before="240" w:after="240"/>
        <w:ind w:firstLine="314" w:firstLineChars="98"/>
        <w:rPr>
          <w:rFonts w:eastAsia="Times New Roman"/>
          <w:kern w:val="0"/>
          <w:sz w:val="32"/>
          <w:szCs w:val="32"/>
        </w:rPr>
      </w:pPr>
      <w:r>
        <w:rPr>
          <w:rFonts w:ascii="fang_song_gb2312" w:hAnsi="fang_song_gb2312" w:eastAsia="fang_song_gb2312" w:cs="fang_song_gb2312"/>
          <w:b/>
          <w:bCs/>
          <w:kern w:val="0"/>
          <w:sz w:val="32"/>
          <w:szCs w:val="32"/>
        </w:rPr>
        <w:t>（一）工资福利支出</w:t>
      </w:r>
      <w:r>
        <w:rPr>
          <w:rFonts w:ascii="times_new_roman" w:hAnsi="times_new_roman" w:eastAsia="times_new_roman" w:cs="times_new_roman"/>
          <w:kern w:val="0"/>
          <w:sz w:val="32"/>
          <w:szCs w:val="32"/>
          <w:u w:val="single"/>
        </w:rPr>
        <w:t xml:space="preserve"> 0.00</w:t>
      </w:r>
      <w:r>
        <w:rPr>
          <w:rFonts w:ascii="fang_song_gb2312" w:hAnsi="fang_song_gb2312" w:eastAsia="fang_song_gb2312" w:cs="fang_song_gb2312"/>
          <w:b/>
          <w:bCs/>
          <w:kern w:val="0"/>
          <w:sz w:val="32"/>
          <w:szCs w:val="32"/>
        </w:rPr>
        <w:t>万元</w:t>
      </w:r>
      <w:r>
        <w:rPr>
          <w:rFonts w:ascii="fang_song_gb2312" w:hAnsi="fang_song_gb2312" w:eastAsia="fang_song_gb2312" w:cs="fang_song_gb2312"/>
          <w:kern w:val="0"/>
          <w:sz w:val="32"/>
          <w:szCs w:val="32"/>
        </w:rPr>
        <w:t>。</w:t>
      </w:r>
    </w:p>
    <w:p w14:paraId="33ACBA9F">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b/>
          <w:bCs/>
          <w:kern w:val="0"/>
          <w:sz w:val="32"/>
          <w:szCs w:val="32"/>
        </w:rPr>
        <w:t>    （二）商品和服务支出</w:t>
      </w:r>
      <w:r>
        <w:rPr>
          <w:rFonts w:ascii="times_new_roman" w:hAnsi="times_new_roman" w:eastAsia="times_new_roman" w:cs="times_new_roman"/>
          <w:kern w:val="0"/>
          <w:sz w:val="32"/>
          <w:szCs w:val="32"/>
          <w:u w:val="single"/>
        </w:rPr>
        <w:t xml:space="preserve"> 705.08</w:t>
      </w:r>
      <w:r>
        <w:rPr>
          <w:rFonts w:ascii="fang_song_gb2312" w:hAnsi="fang_song_gb2312" w:eastAsia="fang_song_gb2312" w:cs="fang_song_gb2312"/>
          <w:b/>
          <w:bCs/>
          <w:kern w:val="0"/>
          <w:sz w:val="32"/>
          <w:szCs w:val="32"/>
        </w:rPr>
        <w:t>万元</w:t>
      </w:r>
      <w:r>
        <w:rPr>
          <w:rFonts w:ascii="fang_song_gb2312" w:hAnsi="fang_song_gb2312" w:eastAsia="fang_song_gb2312" w:cs="fang_song_gb2312"/>
          <w:kern w:val="0"/>
          <w:sz w:val="32"/>
          <w:szCs w:val="32"/>
        </w:rPr>
        <w:t>。</w:t>
      </w:r>
      <w:r>
        <w:rPr>
          <w:rFonts w:hint="eastAsia" w:ascii="仿宋" w:hAnsi="仿宋" w:eastAsia="仿宋" w:cs="仿宋"/>
          <w:kern w:val="0"/>
          <w:sz w:val="32"/>
          <w:szCs w:val="32"/>
        </w:rPr>
        <w:t>主要包括：办公费16.39万元、印刷费16.36万元、邮电费1.00万元、差旅费115.14万元、维修（护）费0.40万元、租赁费3.77万元、会议费9.66万元、培训费91.88万元、劳务费20.60万元、委托业务费405.14万元、公务用车运行维护费1.70万元、其他交通费用23.05万元。</w:t>
      </w:r>
    </w:p>
    <w:p w14:paraId="7842166C">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fang_song_gb2312" w:hAnsi="fang_song_gb2312" w:cs="fang_song_gb2312" w:eastAsiaTheme="minorEastAsia"/>
          <w:kern w:val="0"/>
          <w:sz w:val="32"/>
          <w:szCs w:val="32"/>
        </w:rPr>
        <w:t xml:space="preserve">  </w:t>
      </w:r>
      <w:r>
        <w:rPr>
          <w:rFonts w:ascii="fang_song_gb2312" w:hAnsi="fang_song_gb2312" w:eastAsia="fang_song_gb2312" w:cs="fang_song_gb2312"/>
          <w:b/>
          <w:bCs/>
          <w:kern w:val="0"/>
          <w:sz w:val="32"/>
          <w:szCs w:val="32"/>
        </w:rPr>
        <w:t>（</w:t>
      </w:r>
      <w:r>
        <w:rPr>
          <w:rFonts w:hint="eastAsia" w:ascii="fang_song_gb2312" w:hAnsi="fang_song_gb2312" w:cs="fang_song_gb2312" w:eastAsiaTheme="minorEastAsia"/>
          <w:b/>
          <w:bCs/>
          <w:kern w:val="0"/>
          <w:sz w:val="32"/>
          <w:szCs w:val="32"/>
        </w:rPr>
        <w:t>三</w:t>
      </w:r>
      <w:r>
        <w:rPr>
          <w:rFonts w:ascii="fang_song_gb2312" w:hAnsi="fang_song_gb2312" w:eastAsia="fang_song_gb2312" w:cs="fang_song_gb2312"/>
          <w:b/>
          <w:bCs/>
          <w:kern w:val="0"/>
          <w:sz w:val="32"/>
          <w:szCs w:val="32"/>
        </w:rPr>
        <w:t>）</w:t>
      </w:r>
      <w:r>
        <w:rPr>
          <w:rFonts w:hint="eastAsia" w:ascii="fang_song_gb2312" w:hAnsi="fang_song_gb2312" w:eastAsia="fang_song_gb2312" w:cs="fang_song_gb2312"/>
          <w:b/>
          <w:bCs/>
          <w:kern w:val="0"/>
          <w:sz w:val="32"/>
          <w:szCs w:val="32"/>
        </w:rPr>
        <w:t>对个人和家庭的补助</w:t>
      </w:r>
      <w:r>
        <w:rPr>
          <w:rFonts w:ascii="times_new_roman" w:hAnsi="times_new_roman" w:eastAsia="times_new_roman" w:cs="times_new_roman"/>
          <w:kern w:val="0"/>
          <w:sz w:val="32"/>
          <w:szCs w:val="32"/>
          <w:u w:val="single"/>
        </w:rPr>
        <w:t xml:space="preserve"> </w:t>
      </w:r>
      <w:r>
        <w:rPr>
          <w:rFonts w:hint="eastAsia" w:ascii="times_new_roman" w:hAnsi="times_new_roman" w:cs="times_new_roman" w:eastAsiaTheme="minorEastAsia"/>
          <w:kern w:val="0"/>
          <w:sz w:val="32"/>
          <w:szCs w:val="32"/>
          <w:u w:val="single"/>
        </w:rPr>
        <w:t>3.60</w:t>
      </w:r>
      <w:r>
        <w:rPr>
          <w:rFonts w:ascii="fang_song_gb2312" w:hAnsi="fang_song_gb2312" w:eastAsia="fang_song_gb2312" w:cs="fang_song_gb2312"/>
          <w:b/>
          <w:bCs/>
          <w:kern w:val="0"/>
          <w:sz w:val="32"/>
          <w:szCs w:val="32"/>
        </w:rPr>
        <w:t>万元</w:t>
      </w:r>
      <w:r>
        <w:rPr>
          <w:rFonts w:ascii="fang_song_gb2312" w:hAnsi="fang_song_gb2312" w:eastAsia="fang_song_gb2312" w:cs="fang_song_gb2312"/>
          <w:kern w:val="0"/>
          <w:sz w:val="32"/>
          <w:szCs w:val="32"/>
        </w:rPr>
        <w:t>。</w:t>
      </w:r>
      <w:r>
        <w:rPr>
          <w:rFonts w:hint="eastAsia" w:ascii="仿宋" w:hAnsi="仿宋" w:eastAsia="仿宋" w:cs="仿宋"/>
          <w:kern w:val="0"/>
          <w:sz w:val="32"/>
          <w:szCs w:val="32"/>
        </w:rPr>
        <w:t>主要包括：生活补助3.60万元。主要原因：根据《中共内蒙古自治区委员会组织部关于做好第23批“博士服务团”成员接收任用工作的通知》，崔茂盛同志任盟农牧局副局长职务，挂职锻炼期限1年，“通知”要求落实好博士服务团成员锻炼期间每月生活补助0.3万元，全年共计3.6万元。</w:t>
      </w:r>
    </w:p>
    <w:p w14:paraId="34A44CD7">
      <w:pPr>
        <w:widowControl/>
        <w:spacing w:before="240" w:after="240"/>
        <w:ind w:firstLine="482" w:firstLineChars="150"/>
        <w:rPr>
          <w:rFonts w:hint="eastAsia" w:ascii="仿宋" w:hAnsi="仿宋" w:eastAsia="仿宋" w:cs="仿宋"/>
          <w:kern w:val="0"/>
          <w:sz w:val="32"/>
          <w:szCs w:val="32"/>
        </w:rPr>
      </w:pPr>
      <w:r>
        <w:rPr>
          <w:rFonts w:hint="eastAsia" w:ascii="宋体" w:hAnsi="宋体" w:cs="宋体"/>
          <w:b/>
          <w:bCs/>
          <w:kern w:val="0"/>
          <w:sz w:val="32"/>
          <w:szCs w:val="32"/>
        </w:rPr>
        <w:t>（</w:t>
      </w:r>
      <w:r>
        <w:rPr>
          <w:rFonts w:hint="eastAsia" w:ascii="fang_song_gb2312" w:hAnsi="fang_song_gb2312" w:cs="fang_song_gb2312" w:eastAsiaTheme="minorEastAsia"/>
          <w:b/>
          <w:bCs/>
          <w:kern w:val="0"/>
          <w:sz w:val="32"/>
          <w:szCs w:val="32"/>
        </w:rPr>
        <w:t>四</w:t>
      </w:r>
      <w:r>
        <w:rPr>
          <w:rFonts w:hint="eastAsia" w:ascii="宋体" w:hAnsi="宋体" w:cs="宋体"/>
          <w:b/>
          <w:bCs/>
          <w:kern w:val="0"/>
          <w:sz w:val="32"/>
          <w:szCs w:val="32"/>
        </w:rPr>
        <w:t>）资本性支出</w:t>
      </w:r>
      <w:r>
        <w:rPr>
          <w:rFonts w:ascii="times_new_roman" w:hAnsi="times_new_roman" w:eastAsia="times_new_roman" w:cs="times_new_roman"/>
          <w:kern w:val="0"/>
          <w:sz w:val="32"/>
          <w:szCs w:val="32"/>
          <w:u w:val="single"/>
        </w:rPr>
        <w:t xml:space="preserve"> </w:t>
      </w:r>
      <w:r>
        <w:rPr>
          <w:rFonts w:hint="eastAsia" w:ascii="times_new_roman" w:hAnsi="times_new_roman" w:cs="times_new_roman" w:eastAsiaTheme="minorEastAsia"/>
          <w:kern w:val="0"/>
          <w:sz w:val="32"/>
          <w:szCs w:val="32"/>
          <w:u w:val="single"/>
        </w:rPr>
        <w:t>12.00</w:t>
      </w:r>
      <w:r>
        <w:rPr>
          <w:rFonts w:hint="eastAsia" w:ascii="宋体" w:hAnsi="宋体" w:cs="宋体"/>
          <w:b/>
          <w:bCs/>
          <w:kern w:val="0"/>
          <w:sz w:val="32"/>
          <w:szCs w:val="32"/>
        </w:rPr>
        <w:t>万元</w:t>
      </w:r>
      <w:r>
        <w:rPr>
          <w:rFonts w:ascii="fang_song_gb2312" w:hAnsi="fang_song_gb2312" w:eastAsia="fang_song_gb2312" w:cs="fang_song_gb2312"/>
          <w:kern w:val="0"/>
          <w:sz w:val="32"/>
          <w:szCs w:val="32"/>
        </w:rPr>
        <w:t>。</w:t>
      </w:r>
      <w:r>
        <w:rPr>
          <w:rFonts w:hint="eastAsia" w:ascii="仿宋" w:hAnsi="仿宋" w:eastAsia="仿宋" w:cs="仿宋"/>
          <w:kern w:val="0"/>
          <w:sz w:val="32"/>
          <w:szCs w:val="32"/>
        </w:rPr>
        <w:t>主要包括：专用设备购置12.00万元。</w:t>
      </w:r>
    </w:p>
    <w:p w14:paraId="1201E95E">
      <w:pPr>
        <w:widowControl/>
        <w:spacing w:before="240" w:after="240"/>
        <w:ind w:firstLine="469" w:firstLineChars="146"/>
        <w:rPr>
          <w:rFonts w:hint="eastAsia" w:ascii="仿宋" w:hAnsi="仿宋" w:eastAsia="仿宋" w:cs="仿宋"/>
          <w:kern w:val="0"/>
          <w:sz w:val="32"/>
          <w:szCs w:val="32"/>
        </w:rPr>
      </w:pPr>
      <w:r>
        <w:rPr>
          <w:rFonts w:hint="eastAsia" w:ascii="宋体" w:hAnsi="宋体" w:cs="宋体"/>
          <w:b/>
          <w:bCs/>
          <w:kern w:val="0"/>
          <w:sz w:val="32"/>
          <w:szCs w:val="32"/>
        </w:rPr>
        <w:t>（</w:t>
      </w:r>
      <w:r>
        <w:rPr>
          <w:rFonts w:hint="eastAsia" w:ascii="fang_song_gb2312" w:hAnsi="fang_song_gb2312" w:cs="fang_song_gb2312" w:eastAsiaTheme="minorEastAsia"/>
          <w:b/>
          <w:bCs/>
          <w:kern w:val="0"/>
          <w:sz w:val="32"/>
          <w:szCs w:val="32"/>
        </w:rPr>
        <w:t>五</w:t>
      </w:r>
      <w:r>
        <w:rPr>
          <w:rFonts w:hint="eastAsia" w:ascii="宋体" w:hAnsi="宋体" w:cs="宋体"/>
          <w:b/>
          <w:bCs/>
          <w:kern w:val="0"/>
          <w:sz w:val="32"/>
          <w:szCs w:val="32"/>
        </w:rPr>
        <w:t>）对企业补助</w:t>
      </w:r>
      <w:r>
        <w:rPr>
          <w:rFonts w:ascii="times_new_roman" w:hAnsi="times_new_roman" w:eastAsia="times_new_roman" w:cs="times_new_roman"/>
          <w:kern w:val="0"/>
          <w:sz w:val="32"/>
          <w:szCs w:val="32"/>
          <w:u w:val="single"/>
        </w:rPr>
        <w:t xml:space="preserve"> </w:t>
      </w:r>
      <w:r>
        <w:rPr>
          <w:rFonts w:ascii="times_new_roman" w:hAnsi="times_new_roman" w:cs="times_new_roman" w:eastAsiaTheme="minorEastAsia"/>
          <w:kern w:val="0"/>
          <w:sz w:val="32"/>
          <w:szCs w:val="32"/>
          <w:u w:val="single"/>
        </w:rPr>
        <w:t>191.99</w:t>
      </w:r>
      <w:r>
        <w:rPr>
          <w:rFonts w:hint="eastAsia" w:ascii="宋体" w:hAnsi="宋体" w:cs="宋体"/>
          <w:b/>
          <w:bCs/>
          <w:kern w:val="0"/>
          <w:sz w:val="32"/>
          <w:szCs w:val="32"/>
        </w:rPr>
        <w:t>万元</w:t>
      </w:r>
      <w:r>
        <w:rPr>
          <w:rFonts w:ascii="fang_song_gb2312" w:hAnsi="fang_song_gb2312" w:eastAsia="fang_song_gb2312" w:cs="fang_song_gb2312"/>
          <w:kern w:val="0"/>
          <w:sz w:val="32"/>
          <w:szCs w:val="32"/>
        </w:rPr>
        <w:t>。</w:t>
      </w:r>
      <w:r>
        <w:rPr>
          <w:rFonts w:hint="eastAsia" w:ascii="仿宋" w:hAnsi="仿宋" w:eastAsia="仿宋" w:cs="仿宋"/>
          <w:kern w:val="0"/>
          <w:sz w:val="32"/>
          <w:szCs w:val="32"/>
        </w:rPr>
        <w:t>主要包括：其他对企业补助191.99万元。</w:t>
      </w:r>
      <w:r>
        <w:rPr>
          <w:rFonts w:hint="eastAsia" w:ascii="仿宋" w:hAnsi="仿宋" w:eastAsia="仿宋" w:cs="仿宋"/>
          <w:color w:val="000000"/>
          <w:kern w:val="0"/>
          <w:sz w:val="32"/>
          <w:szCs w:val="32"/>
        </w:rPr>
        <w:t>锡林郭勒盟行政公署《关于盟饲草饲料供应站所属草场划转及职工安置有关事宜的批复》（锡署字〔2015〕42号），202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年盟本级预算安排饲草饲料供应站人员经费共计</w:t>
      </w:r>
      <w:r>
        <w:rPr>
          <w:rFonts w:hint="eastAsia" w:ascii="仿宋" w:hAnsi="仿宋" w:eastAsia="仿宋" w:cs="仿宋"/>
          <w:color w:val="000000"/>
          <w:kern w:val="0"/>
          <w:sz w:val="32"/>
          <w:szCs w:val="32"/>
          <w:lang w:val="en-US" w:eastAsia="zh-CN"/>
        </w:rPr>
        <w:t>191.99</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，用于</w:t>
      </w:r>
      <w:r>
        <w:rPr>
          <w:rFonts w:hint="eastAsia" w:ascii="仿宋" w:hAnsi="仿宋" w:eastAsia="仿宋" w:cs="仿宋"/>
          <w:color w:val="000000"/>
          <w:kern w:val="0"/>
          <w:sz w:val="32"/>
          <w:szCs w:val="32"/>
        </w:rPr>
        <w:t>盟饲草饲料供应站人员工资、五险一金和公益性支出。</w:t>
      </w:r>
    </w:p>
    <w:p w14:paraId="6664FC86">
      <w:pPr>
        <w:widowControl/>
        <w:spacing w:before="240" w:after="240"/>
        <w:rPr>
          <w:rFonts w:eastAsia="Times New Roman"/>
          <w:kern w:val="0"/>
          <w:sz w:val="32"/>
          <w:szCs w:val="32"/>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八、财政拨款“三公”经费支出决算情况说明</w:t>
      </w:r>
    </w:p>
    <w:p w14:paraId="311AFB32">
      <w:pPr>
        <w:widowControl/>
        <w:spacing w:before="240" w:after="240"/>
        <w:rPr>
          <w:rFonts w:eastAsia="Times New Roman"/>
          <w:kern w:val="0"/>
          <w:sz w:val="32"/>
          <w:szCs w:val="32"/>
        </w:rPr>
      </w:pPr>
      <w:r>
        <w:rPr>
          <w:rFonts w:ascii="fang_song_gb2312" w:hAnsi="fang_song_gb2312" w:eastAsia="fang_song_gb2312" w:cs="fang_song_gb2312"/>
          <w:color w:val="0E00FE"/>
          <w:kern w:val="0"/>
          <w:sz w:val="32"/>
          <w:szCs w:val="32"/>
        </w:rPr>
        <w:t>   </w:t>
      </w:r>
      <w:r>
        <w:rPr>
          <w:rFonts w:ascii="kai_ti_gb2312" w:hAnsi="kai_ti_gb2312" w:eastAsia="kai_ti_gb2312" w:cs="kai_ti_gb2312"/>
          <w:b/>
          <w:bCs/>
          <w:kern w:val="0"/>
          <w:sz w:val="32"/>
          <w:szCs w:val="32"/>
        </w:rPr>
        <w:t>    （一）财政拨款“三公”经费支出总体情况说明。</w:t>
      </w:r>
    </w:p>
    <w:p w14:paraId="2F7D8F84">
      <w:pPr>
        <w:keepNext w:val="0"/>
        <w:keepLines w:val="0"/>
        <w:pageBreakBefore w:val="0"/>
        <w:widowControl/>
        <w:kinsoku/>
        <w:wordWrap/>
        <w:overflowPunct/>
        <w:topLinePunct w:val="0"/>
        <w:autoSpaceDE/>
        <w:autoSpaceDN/>
        <w:bidi w:val="0"/>
        <w:adjustRightInd/>
        <w:snapToGrid/>
        <w:spacing w:before="240" w:after="240"/>
        <w:ind w:firstLine="640" w:firstLineChars="200"/>
        <w:textAlignment w:val="auto"/>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锡林郭勒盟农牧局（本级） 2023年度财政拨款“三公”经费全年预算</w:t>
      </w:r>
      <w:r>
        <w:rPr>
          <w:rFonts w:hint="eastAsia" w:ascii="仿宋" w:hAnsi="仿宋" w:eastAsia="仿宋" w:cs="仿宋"/>
          <w:kern w:val="0"/>
          <w:sz w:val="32"/>
          <w:szCs w:val="32"/>
          <w:u w:val="single"/>
        </w:rPr>
        <w:t xml:space="preserve"> 44.58</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42.53</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95.40</w:t>
      </w:r>
      <w:r>
        <w:rPr>
          <w:rFonts w:hint="eastAsia" w:ascii="仿宋" w:hAnsi="仿宋" w:eastAsia="仿宋" w:cs="仿宋"/>
          <w:kern w:val="0"/>
          <w:sz w:val="32"/>
          <w:szCs w:val="32"/>
        </w:rPr>
        <w:t>%。其中：因公出国（境）费全年预算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%；公务用车购置及运行维护费全年预算</w:t>
      </w:r>
      <w:r>
        <w:rPr>
          <w:rFonts w:hint="eastAsia" w:ascii="仿宋" w:hAnsi="仿宋" w:eastAsia="仿宋" w:cs="仿宋"/>
          <w:kern w:val="0"/>
          <w:sz w:val="32"/>
          <w:szCs w:val="32"/>
          <w:u w:val="single"/>
        </w:rPr>
        <w:t xml:space="preserve"> 41.08</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39.03</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95.01</w:t>
      </w:r>
      <w:r>
        <w:rPr>
          <w:rFonts w:hint="eastAsia" w:ascii="仿宋" w:hAnsi="仿宋" w:eastAsia="仿宋" w:cs="仿宋"/>
          <w:kern w:val="0"/>
          <w:sz w:val="32"/>
          <w:szCs w:val="32"/>
        </w:rPr>
        <w:t>%；公务接待费全年预算</w:t>
      </w:r>
      <w:r>
        <w:rPr>
          <w:rFonts w:hint="eastAsia" w:ascii="仿宋" w:hAnsi="仿宋" w:eastAsia="仿宋" w:cs="仿宋"/>
          <w:kern w:val="0"/>
          <w:sz w:val="32"/>
          <w:szCs w:val="32"/>
          <w:u w:val="single"/>
        </w:rPr>
        <w:t xml:space="preserve"> 3.50</w:t>
      </w:r>
      <w:r>
        <w:rPr>
          <w:rFonts w:hint="eastAsia" w:ascii="仿宋" w:hAnsi="仿宋" w:eastAsia="仿宋" w:cs="仿宋"/>
          <w:kern w:val="0"/>
          <w:sz w:val="32"/>
          <w:szCs w:val="32"/>
        </w:rPr>
        <w:t>万元，支出决算</w:t>
      </w:r>
      <w:r>
        <w:rPr>
          <w:rFonts w:hint="eastAsia" w:ascii="仿宋" w:hAnsi="仿宋" w:eastAsia="仿宋" w:cs="仿宋"/>
          <w:kern w:val="0"/>
          <w:sz w:val="32"/>
          <w:szCs w:val="32"/>
          <w:u w:val="single"/>
        </w:rPr>
        <w:t xml:space="preserve"> 3.50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 xml:space="preserve"> 100.00</w:t>
      </w:r>
      <w:r>
        <w:rPr>
          <w:rFonts w:hint="eastAsia" w:ascii="仿宋" w:hAnsi="仿宋" w:eastAsia="仿宋" w:cs="仿宋"/>
          <w:kern w:val="0"/>
          <w:sz w:val="32"/>
          <w:szCs w:val="32"/>
        </w:rPr>
        <w:t>%。2023年度一般公共预算财政拨款“三公”经费支出决算与预算差异原因：我单位按照国家有关制度压缩三公经费开支，厉行勤俭节约，反对铺张浪费，严格控制单位“三公”经费。</w:t>
      </w:r>
    </w:p>
    <w:p w14:paraId="58D8DAA8">
      <w:pPr>
        <w:widowControl/>
        <w:spacing w:before="240" w:after="240"/>
        <w:jc w:val="left"/>
        <w:rPr>
          <w:rFonts w:eastAsia="Times New Roman"/>
          <w:kern w:val="0"/>
          <w:sz w:val="32"/>
          <w:szCs w:val="32"/>
        </w:rPr>
      </w:pPr>
      <w:r>
        <w:rPr>
          <w:rFonts w:ascii="kai_ti_gb2312" w:hAnsi="kai_ti_gb2312" w:eastAsia="kai_ti_gb2312" w:cs="kai_ti_gb2312"/>
          <w:b/>
          <w:bCs/>
          <w:kern w:val="0"/>
          <w:sz w:val="27"/>
          <w:szCs w:val="27"/>
        </w:rPr>
        <w:t>   </w:t>
      </w:r>
      <w:r>
        <w:rPr>
          <w:rFonts w:ascii="kai_ti_gb2312" w:hAnsi="kai_ti_gb2312" w:eastAsia="kai_ti_gb2312" w:cs="kai_ti_gb2312"/>
          <w:b/>
          <w:bCs/>
          <w:kern w:val="0"/>
          <w:sz w:val="32"/>
          <w:szCs w:val="32"/>
        </w:rPr>
        <w:t xml:space="preserve"> （二）财政拨款“三公”经费支出具体情况说明。</w:t>
      </w:r>
    </w:p>
    <w:p w14:paraId="226D30C6">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锡林郭勒盟农牧局（本级） 2023年度财政拨款“三公”经费支出</w:t>
      </w:r>
      <w:r>
        <w:rPr>
          <w:rFonts w:hint="eastAsia" w:ascii="仿宋" w:hAnsi="仿宋" w:eastAsia="仿宋" w:cs="仿宋"/>
          <w:kern w:val="0"/>
          <w:sz w:val="32"/>
          <w:szCs w:val="32"/>
          <w:u w:val="single"/>
        </w:rPr>
        <w:t xml:space="preserve"> 42.53</w:t>
      </w:r>
      <w:r>
        <w:rPr>
          <w:rFonts w:hint="eastAsia" w:ascii="仿宋" w:hAnsi="仿宋" w:eastAsia="仿宋" w:cs="仿宋"/>
          <w:kern w:val="0"/>
          <w:sz w:val="32"/>
          <w:szCs w:val="32"/>
        </w:rPr>
        <w:t>万元。因公出国（境）费支出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%；公务用车购置及运行维护费支出</w:t>
      </w:r>
      <w:r>
        <w:rPr>
          <w:rFonts w:hint="eastAsia" w:ascii="仿宋" w:hAnsi="仿宋" w:eastAsia="仿宋" w:cs="仿宋"/>
          <w:kern w:val="0"/>
          <w:sz w:val="32"/>
          <w:szCs w:val="32"/>
          <w:u w:val="single"/>
        </w:rPr>
        <w:t xml:space="preserve"> 39.03</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91.77</w:t>
      </w:r>
      <w:r>
        <w:rPr>
          <w:rFonts w:hint="eastAsia" w:ascii="仿宋" w:hAnsi="仿宋" w:eastAsia="仿宋" w:cs="仿宋"/>
          <w:kern w:val="0"/>
          <w:sz w:val="32"/>
          <w:szCs w:val="32"/>
        </w:rPr>
        <w:t>%；公务接待费支出</w:t>
      </w:r>
      <w:r>
        <w:rPr>
          <w:rFonts w:hint="eastAsia" w:ascii="仿宋" w:hAnsi="仿宋" w:eastAsia="仿宋" w:cs="仿宋"/>
          <w:kern w:val="0"/>
          <w:sz w:val="32"/>
          <w:szCs w:val="32"/>
          <w:u w:val="single"/>
        </w:rPr>
        <w:t xml:space="preserve"> 3.50</w:t>
      </w:r>
      <w:r>
        <w:rPr>
          <w:rFonts w:hint="eastAsia" w:ascii="仿宋" w:hAnsi="仿宋" w:eastAsia="仿宋" w:cs="仿宋"/>
          <w:kern w:val="0"/>
          <w:sz w:val="32"/>
          <w:szCs w:val="32"/>
        </w:rPr>
        <w:t>万元，占</w:t>
      </w:r>
      <w:r>
        <w:rPr>
          <w:rFonts w:hint="eastAsia" w:ascii="仿宋" w:hAnsi="仿宋" w:eastAsia="仿宋" w:cs="仿宋"/>
          <w:kern w:val="0"/>
          <w:sz w:val="32"/>
          <w:szCs w:val="32"/>
          <w:u w:val="single"/>
        </w:rPr>
        <w:t xml:space="preserve"> 8.23</w:t>
      </w:r>
      <w:r>
        <w:rPr>
          <w:rFonts w:hint="eastAsia" w:ascii="仿宋" w:hAnsi="仿宋" w:eastAsia="仿宋" w:cs="仿宋"/>
          <w:kern w:val="0"/>
          <w:sz w:val="32"/>
          <w:szCs w:val="32"/>
        </w:rPr>
        <w:t>%。其中：</w:t>
      </w:r>
    </w:p>
    <w:p w14:paraId="3B29B8D8">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1.因公出国（境）费支出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万元，全年出国（境）团组</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个，累计</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人次。与上年决算相比，增加</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0.00</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无出国人员，无</w:t>
      </w:r>
      <w:r>
        <w:rPr>
          <w:rFonts w:hint="eastAsia" w:ascii="仿宋" w:hAnsi="仿宋" w:eastAsia="仿宋" w:cs="仿宋"/>
          <w:kern w:val="0"/>
          <w:sz w:val="32"/>
          <w:szCs w:val="32"/>
        </w:rPr>
        <w:t>因公出国（境）费支出。</w:t>
      </w:r>
    </w:p>
    <w:p w14:paraId="01E85978">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2.公务用车购置及运行维护费支出</w:t>
      </w:r>
      <w:r>
        <w:rPr>
          <w:rFonts w:hint="eastAsia" w:ascii="仿宋" w:hAnsi="仿宋" w:eastAsia="仿宋" w:cs="仿宋"/>
          <w:kern w:val="0"/>
          <w:sz w:val="32"/>
          <w:szCs w:val="32"/>
          <w:u w:val="single"/>
        </w:rPr>
        <w:t xml:space="preserve"> 39.03</w:t>
      </w:r>
      <w:r>
        <w:rPr>
          <w:rFonts w:hint="eastAsia" w:ascii="仿宋" w:hAnsi="仿宋" w:eastAsia="仿宋" w:cs="仿宋"/>
          <w:kern w:val="0"/>
          <w:sz w:val="32"/>
          <w:szCs w:val="32"/>
        </w:rPr>
        <w:t>万元。其中：</w:t>
      </w:r>
    </w:p>
    <w:p w14:paraId="58B3346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（1）公务用车购置支出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万元。本年度使用财政拨款购置公务用车</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辆，开支内容：</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无公务用车购置支出。与上年决算相比，增加</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0</w:t>
      </w:r>
      <w:r>
        <w:rPr>
          <w:rFonts w:hint="eastAsia" w:ascii="仿宋" w:hAnsi="仿宋" w:eastAsia="仿宋" w:cs="仿宋"/>
          <w:kern w:val="0"/>
          <w:sz w:val="32"/>
          <w:szCs w:val="32"/>
        </w:rPr>
        <w:t>%，变动原因：</w:t>
      </w:r>
      <w:r>
        <w:rPr>
          <w:rFonts w:hint="eastAsia" w:ascii="仿宋" w:hAnsi="仿宋" w:eastAsia="仿宋" w:cs="仿宋"/>
          <w:kern w:val="0"/>
          <w:sz w:val="32"/>
          <w:szCs w:val="32"/>
          <w:lang w:eastAsia="zh-CN"/>
        </w:rPr>
        <w:t>上下年均</w:t>
      </w:r>
      <w:r>
        <w:rPr>
          <w:rFonts w:hint="eastAsia" w:ascii="仿宋" w:hAnsi="仿宋" w:eastAsia="仿宋" w:cs="仿宋"/>
          <w:kern w:val="0"/>
          <w:sz w:val="32"/>
          <w:szCs w:val="32"/>
        </w:rPr>
        <w:t>无公务用车购置支出。</w:t>
      </w:r>
    </w:p>
    <w:p w14:paraId="25BF949C">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（2）公务用车运行维护费支出</w:t>
      </w:r>
      <w:r>
        <w:rPr>
          <w:rFonts w:hint="eastAsia" w:ascii="仿宋" w:hAnsi="仿宋" w:eastAsia="仿宋" w:cs="仿宋"/>
          <w:kern w:val="0"/>
          <w:sz w:val="32"/>
          <w:szCs w:val="32"/>
          <w:u w:val="single"/>
        </w:rPr>
        <w:t xml:space="preserve"> 39.03</w:t>
      </w:r>
      <w:r>
        <w:rPr>
          <w:rFonts w:hint="eastAsia" w:ascii="仿宋" w:hAnsi="仿宋" w:eastAsia="仿宋" w:cs="仿宋"/>
          <w:kern w:val="0"/>
          <w:sz w:val="32"/>
          <w:szCs w:val="32"/>
        </w:rPr>
        <w:t>万元。公务用车运行维护费主要用于按规定保留的公务用车的燃料费、维修费、过桥过路费、保险费、安全奖励费用等支出。截至2023年12月31日，使用财政拨款开支的公务用车保有量为</w:t>
      </w:r>
      <w:r>
        <w:rPr>
          <w:rFonts w:hint="eastAsia" w:ascii="仿宋" w:hAnsi="仿宋" w:eastAsia="仿宋" w:cs="仿宋"/>
          <w:kern w:val="0"/>
          <w:sz w:val="32"/>
          <w:szCs w:val="32"/>
          <w:u w:val="single"/>
        </w:rPr>
        <w:t xml:space="preserve">6 </w:t>
      </w:r>
      <w:r>
        <w:rPr>
          <w:rFonts w:hint="eastAsia" w:ascii="仿宋" w:hAnsi="仿宋" w:eastAsia="仿宋" w:cs="仿宋"/>
          <w:kern w:val="0"/>
          <w:sz w:val="32"/>
          <w:szCs w:val="32"/>
        </w:rPr>
        <w:t>辆。与上年决算相比，增加</w:t>
      </w:r>
      <w:r>
        <w:rPr>
          <w:rFonts w:hint="eastAsia" w:ascii="仿宋" w:hAnsi="仿宋" w:eastAsia="仿宋" w:cs="仿宋"/>
          <w:kern w:val="0"/>
          <w:sz w:val="32"/>
          <w:szCs w:val="32"/>
          <w:u w:val="single"/>
        </w:rPr>
        <w:t>4.17</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11.98</w:t>
      </w:r>
      <w:r>
        <w:rPr>
          <w:rFonts w:hint="eastAsia" w:ascii="仿宋" w:hAnsi="仿宋" w:eastAsia="仿宋" w:cs="仿宋"/>
          <w:kern w:val="0"/>
          <w:sz w:val="32"/>
          <w:szCs w:val="32"/>
        </w:rPr>
        <w:t>%，变动原因：本年因户厕整改专项检查工作，下乡任务加重，比上年公务用车运行维护费增加。</w:t>
      </w:r>
    </w:p>
    <w:p w14:paraId="64ACE4F4">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3.公务接待费支出</w:t>
      </w:r>
      <w:r>
        <w:rPr>
          <w:rFonts w:hint="eastAsia" w:ascii="仿宋" w:hAnsi="仿宋" w:eastAsia="仿宋" w:cs="仿宋"/>
          <w:kern w:val="0"/>
          <w:sz w:val="32"/>
          <w:szCs w:val="32"/>
          <w:u w:val="single"/>
        </w:rPr>
        <w:t xml:space="preserve"> 3.50</w:t>
      </w:r>
      <w:r>
        <w:rPr>
          <w:rFonts w:hint="eastAsia" w:ascii="仿宋" w:hAnsi="仿宋" w:eastAsia="仿宋" w:cs="仿宋"/>
          <w:kern w:val="0"/>
          <w:sz w:val="32"/>
          <w:szCs w:val="32"/>
        </w:rPr>
        <w:t>万元。其中：国内公务接待支出</w:t>
      </w:r>
      <w:r>
        <w:rPr>
          <w:rFonts w:hint="eastAsia" w:ascii="仿宋" w:hAnsi="仿宋" w:eastAsia="仿宋" w:cs="仿宋"/>
          <w:kern w:val="0"/>
          <w:sz w:val="32"/>
          <w:szCs w:val="32"/>
          <w:u w:val="single"/>
        </w:rPr>
        <w:t xml:space="preserve"> 3.50</w:t>
      </w:r>
      <w:r>
        <w:rPr>
          <w:rFonts w:hint="eastAsia" w:ascii="仿宋" w:hAnsi="仿宋" w:eastAsia="仿宋" w:cs="仿宋"/>
          <w:kern w:val="0"/>
          <w:sz w:val="32"/>
          <w:szCs w:val="32"/>
        </w:rPr>
        <w:t>万元，接待</w:t>
      </w:r>
      <w:r>
        <w:rPr>
          <w:rFonts w:hint="eastAsia" w:ascii="仿宋" w:hAnsi="仿宋" w:eastAsia="仿宋" w:cs="仿宋"/>
          <w:kern w:val="0"/>
          <w:sz w:val="32"/>
          <w:szCs w:val="32"/>
          <w:u w:val="single"/>
        </w:rPr>
        <w:t xml:space="preserve">40 </w:t>
      </w:r>
      <w:r>
        <w:rPr>
          <w:rFonts w:hint="eastAsia" w:ascii="仿宋" w:hAnsi="仿宋" w:eastAsia="仿宋" w:cs="仿宋"/>
          <w:kern w:val="0"/>
          <w:sz w:val="32"/>
          <w:szCs w:val="32"/>
        </w:rPr>
        <w:t>批次，</w:t>
      </w:r>
      <w:r>
        <w:rPr>
          <w:rFonts w:hint="eastAsia" w:ascii="仿宋" w:hAnsi="仿宋" w:eastAsia="仿宋" w:cs="仿宋"/>
          <w:kern w:val="0"/>
          <w:sz w:val="32"/>
          <w:szCs w:val="32"/>
          <w:u w:val="single"/>
        </w:rPr>
        <w:t xml:space="preserve">332 </w:t>
      </w:r>
      <w:r>
        <w:rPr>
          <w:rFonts w:hint="eastAsia" w:ascii="仿宋" w:hAnsi="仿宋" w:eastAsia="仿宋" w:cs="仿宋"/>
          <w:kern w:val="0"/>
          <w:sz w:val="32"/>
          <w:szCs w:val="32"/>
        </w:rPr>
        <w:t>人次，开支内容：用于旗县及向上级部门汇报及检查工作的招待；国（境）外公务接待支出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万元，接待</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批次，</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人次，开支内容：不存在此项内容。与上年决算相比，增加</w:t>
      </w:r>
      <w:r>
        <w:rPr>
          <w:rFonts w:hint="eastAsia" w:ascii="仿宋" w:hAnsi="仿宋" w:eastAsia="仿宋" w:cs="仿宋"/>
          <w:kern w:val="0"/>
          <w:sz w:val="32"/>
          <w:szCs w:val="32"/>
          <w:u w:val="single"/>
        </w:rPr>
        <w:t>1.61</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85.49</w:t>
      </w:r>
      <w:r>
        <w:rPr>
          <w:rFonts w:hint="eastAsia" w:ascii="仿宋" w:hAnsi="仿宋" w:eastAsia="仿宋" w:cs="仿宋"/>
          <w:kern w:val="0"/>
          <w:sz w:val="32"/>
          <w:szCs w:val="32"/>
        </w:rPr>
        <w:t>%，变动原因：因开展牧区现代化试点工作调研等工作，接待上级部门及旗县盟市工作人员，导致接待费较上年增加。</w:t>
      </w:r>
    </w:p>
    <w:p w14:paraId="46F8C6EE">
      <w:pPr>
        <w:widowControl/>
        <w:spacing w:before="240" w:after="240"/>
        <w:rPr>
          <w:rFonts w:eastAsia="Times New Roman"/>
          <w:kern w:val="0"/>
          <w:sz w:val="32"/>
          <w:szCs w:val="32"/>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32"/>
          <w:szCs w:val="32"/>
        </w:rPr>
        <w:t xml:space="preserve"> 九、政府性基金预算财政拨款支出决算情况说明</w:t>
      </w:r>
    </w:p>
    <w:p w14:paraId="78DEB397">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w:t>
      </w: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  锡林郭勒盟农牧局（本级）2023年度政府性基金预算财政拨款支出决算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0.00</w:t>
      </w:r>
      <w:r>
        <w:rPr>
          <w:rFonts w:hint="eastAsia" w:ascii="仿宋" w:hAnsi="仿宋" w:eastAsia="仿宋" w:cs="仿宋"/>
          <w:kern w:val="0"/>
          <w:sz w:val="32"/>
          <w:szCs w:val="32"/>
        </w:rPr>
        <w:t>%，变动原因：本单位无政府性基金预算财政拨款收、支、余。</w:t>
      </w:r>
    </w:p>
    <w:p w14:paraId="6D8207A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（一）城乡社区支出（类）政府住房基金及对应专项债务收入安排的支出（款）管理费用支出（项）支出 </w:t>
      </w:r>
      <w:r>
        <w:rPr>
          <w:rFonts w:hint="eastAsia" w:ascii="仿宋" w:hAnsi="仿宋" w:eastAsia="仿宋" w:cs="仿宋"/>
          <w:kern w:val="0"/>
          <w:sz w:val="32"/>
          <w:szCs w:val="32"/>
          <w:u w:val="single"/>
        </w:rPr>
        <w:t xml:space="preserve"> 0.00 </w:t>
      </w:r>
      <w:r>
        <w:rPr>
          <w:rFonts w:hint="eastAsia" w:ascii="仿宋" w:hAnsi="仿宋" w:eastAsia="仿宋" w:cs="仿宋"/>
          <w:kern w:val="0"/>
          <w:sz w:val="32"/>
          <w:szCs w:val="32"/>
        </w:rPr>
        <w:t>万元，本年无政府性基金预算财政拨款收、支、余。</w:t>
      </w:r>
    </w:p>
    <w:p w14:paraId="28C69833">
      <w:pPr>
        <w:widowControl/>
        <w:spacing w:before="240" w:after="240"/>
        <w:jc w:val="left"/>
        <w:rPr>
          <w:rFonts w:eastAsia="Times New Roman"/>
          <w:kern w:val="0"/>
          <w:sz w:val="32"/>
          <w:szCs w:val="32"/>
        </w:rPr>
      </w:pP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十、国有资本经营预算财政拨款支出决算情况说明</w:t>
      </w:r>
    </w:p>
    <w:p w14:paraId="5897CFEC">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color w:val="0E00FE"/>
          <w:kern w:val="0"/>
          <w:sz w:val="32"/>
          <w:szCs w:val="32"/>
        </w:rPr>
        <w:t>   </w:t>
      </w: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  锡林郭勒盟农牧局（本级）2023年度国有资本经营预算财政拨款支出决算</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万元。与上年决算相比，增加</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万元，增长</w:t>
      </w:r>
      <w:r>
        <w:rPr>
          <w:rFonts w:hint="eastAsia" w:ascii="仿宋" w:hAnsi="仿宋" w:eastAsia="仿宋" w:cs="仿宋"/>
          <w:kern w:val="0"/>
          <w:sz w:val="32"/>
          <w:szCs w:val="32"/>
          <w:u w:val="single"/>
        </w:rPr>
        <w:t>0.00</w:t>
      </w:r>
      <w:r>
        <w:rPr>
          <w:rFonts w:hint="eastAsia" w:ascii="仿宋" w:hAnsi="仿宋" w:eastAsia="仿宋" w:cs="仿宋"/>
          <w:kern w:val="0"/>
          <w:sz w:val="32"/>
          <w:szCs w:val="32"/>
        </w:rPr>
        <w:t>%，变动原因：本部门（单位）无国有资本经营预算财政拨款收、支、余。</w:t>
      </w:r>
    </w:p>
    <w:p w14:paraId="72416E6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（一）国有资本经营预算支出（类）解决历史遗留问题及改革成本支出（款）“三供一业”移交补助支出（项）支出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0.0</w:t>
      </w:r>
      <w:r>
        <w:rPr>
          <w:rFonts w:hint="eastAsia" w:ascii="仿宋" w:hAnsi="仿宋" w:eastAsia="仿宋" w:cs="仿宋"/>
          <w:kern w:val="0"/>
          <w:sz w:val="32"/>
          <w:szCs w:val="32"/>
          <w:u w:val="single"/>
        </w:rPr>
        <w:t>0</w:t>
      </w:r>
      <w:r>
        <w:rPr>
          <w:rFonts w:hint="eastAsia" w:ascii="仿宋" w:hAnsi="仿宋" w:eastAsia="仿宋" w:cs="仿宋"/>
          <w:kern w:val="0"/>
          <w:sz w:val="32"/>
          <w:szCs w:val="32"/>
        </w:rPr>
        <w:t xml:space="preserve">  万元，主要用于本年无国有资本经营预算财政拨款收、支、余。</w:t>
      </w:r>
    </w:p>
    <w:p w14:paraId="159075FA">
      <w:pPr>
        <w:keepNext w:val="0"/>
        <w:keepLines w:val="0"/>
        <w:pageBreakBefore w:val="0"/>
        <w:widowControl/>
        <w:kinsoku/>
        <w:wordWrap/>
        <w:overflowPunct/>
        <w:topLinePunct w:val="0"/>
        <w:autoSpaceDE/>
        <w:autoSpaceDN/>
        <w:bidi w:val="0"/>
        <w:adjustRightInd/>
        <w:snapToGrid/>
        <w:spacing w:before="240" w:after="240"/>
        <w:ind w:firstLine="643" w:firstLineChars="200"/>
        <w:textAlignment w:val="auto"/>
        <w:rPr>
          <w:rFonts w:eastAsiaTheme="minorEastAsia"/>
          <w:kern w:val="0"/>
          <w:sz w:val="32"/>
          <w:szCs w:val="32"/>
        </w:rPr>
      </w:pPr>
      <w:r>
        <w:rPr>
          <w:rFonts w:ascii="黑体" w:hAnsi="黑体" w:eastAsia="黑体" w:cs="黑体"/>
          <w:b/>
          <w:bCs/>
          <w:kern w:val="0"/>
          <w:sz w:val="32"/>
          <w:szCs w:val="32"/>
        </w:rPr>
        <w:t>十一、机构运行经费支出决算情况说明</w:t>
      </w:r>
    </w:p>
    <w:p w14:paraId="67D0A423">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锡林郭勒盟农牧局（本级）2023年度机构运行经费支出决算</w:t>
      </w:r>
      <w:r>
        <w:rPr>
          <w:rFonts w:hint="eastAsia" w:ascii="仿宋" w:hAnsi="仿宋" w:eastAsia="仿宋" w:cs="仿宋"/>
          <w:kern w:val="0"/>
          <w:sz w:val="32"/>
          <w:szCs w:val="32"/>
          <w:u w:val="single"/>
        </w:rPr>
        <w:t xml:space="preserve"> 160.51</w:t>
      </w:r>
      <w:r>
        <w:rPr>
          <w:rFonts w:hint="eastAsia" w:ascii="仿宋" w:hAnsi="仿宋" w:eastAsia="仿宋" w:cs="仿宋"/>
          <w:kern w:val="0"/>
          <w:sz w:val="32"/>
          <w:szCs w:val="32"/>
        </w:rPr>
        <w:t>万元。比上年决算相比，减少</w:t>
      </w:r>
      <w:r>
        <w:rPr>
          <w:rFonts w:hint="eastAsia" w:ascii="仿宋" w:hAnsi="仿宋" w:eastAsia="仿宋" w:cs="仿宋"/>
          <w:kern w:val="0"/>
          <w:sz w:val="32"/>
          <w:szCs w:val="32"/>
          <w:u w:val="single"/>
        </w:rPr>
        <w:t>3.81</w:t>
      </w:r>
      <w:r>
        <w:rPr>
          <w:rFonts w:hint="eastAsia" w:ascii="仿宋" w:hAnsi="仿宋" w:eastAsia="仿宋" w:cs="仿宋"/>
          <w:kern w:val="0"/>
          <w:sz w:val="32"/>
          <w:szCs w:val="32"/>
        </w:rPr>
        <w:t>万元，减少</w:t>
      </w:r>
      <w:r>
        <w:rPr>
          <w:rFonts w:hint="eastAsia" w:ascii="仿宋" w:hAnsi="仿宋" w:eastAsia="仿宋" w:cs="仿宋"/>
          <w:kern w:val="0"/>
          <w:sz w:val="32"/>
          <w:szCs w:val="32"/>
          <w:u w:val="single"/>
        </w:rPr>
        <w:t>2.32</w:t>
      </w:r>
      <w:r>
        <w:rPr>
          <w:rFonts w:hint="eastAsia" w:ascii="仿宋" w:hAnsi="仿宋" w:eastAsia="仿宋" w:cs="仿宋"/>
          <w:kern w:val="0"/>
          <w:sz w:val="32"/>
          <w:szCs w:val="32"/>
        </w:rPr>
        <w:t>%，变动原因：本年减少办公设备购置，导致机构运行经费减少。手续费0.10万元、水费4.61万元、电费6.50万元、邮电费1.50万元、取暖费7.40万元、物业管理费25.12万元、差旅费4.00万元、公务接待费3.50万元、工会经费12.66万元、福利费10.79万元、公务用车运行维护费37.33万元、其他交通费用45.70万元、其他商品和服务支出1.31万元。</w:t>
      </w:r>
    </w:p>
    <w:p w14:paraId="195CDF8F">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仿宋" w:hAnsi="仿宋" w:eastAsia="仿宋" w:cs="仿宋"/>
          <w:b/>
          <w:bCs/>
          <w:kern w:val="0"/>
          <w:sz w:val="32"/>
          <w:szCs w:val="32"/>
        </w:rPr>
        <w:t>  十二、政府采购支出决算情况说明</w:t>
      </w:r>
    </w:p>
    <w:p w14:paraId="4EA9B287">
      <w:pPr>
        <w:widowControl/>
        <w:spacing w:before="240" w:after="240"/>
        <w:rPr>
          <w:rFonts w:eastAsia="Times New Roman"/>
          <w:kern w:val="0"/>
          <w:sz w:val="32"/>
          <w:szCs w:val="32"/>
          <w:highlight w:val="none"/>
        </w:rPr>
      </w:pPr>
      <w:r>
        <w:rPr>
          <w:rFonts w:hint="eastAsia" w:ascii="仿宋" w:hAnsi="仿宋" w:eastAsia="仿宋" w:cs="仿宋"/>
          <w:kern w:val="0"/>
          <w:sz w:val="32"/>
          <w:szCs w:val="32"/>
        </w:rPr>
        <w:t>    锡林郭勒盟农牧局（本级）2023年度政府采购支出总额</w:t>
      </w:r>
      <w:r>
        <w:rPr>
          <w:rFonts w:hint="eastAsia" w:ascii="仿宋" w:hAnsi="仿宋" w:eastAsia="仿宋" w:cs="仿宋"/>
          <w:kern w:val="0"/>
          <w:sz w:val="32"/>
          <w:szCs w:val="32"/>
          <w:u w:val="single"/>
        </w:rPr>
        <w:t xml:space="preserve"> 298.93</w:t>
      </w:r>
      <w:r>
        <w:rPr>
          <w:rFonts w:hint="eastAsia" w:ascii="仿宋" w:hAnsi="仿宋" w:eastAsia="仿宋" w:cs="仿宋"/>
          <w:kern w:val="0"/>
          <w:sz w:val="32"/>
          <w:szCs w:val="32"/>
        </w:rPr>
        <w:t>万元，其中：政府采购货物支出</w:t>
      </w:r>
      <w:r>
        <w:rPr>
          <w:rFonts w:hint="eastAsia" w:ascii="仿宋" w:hAnsi="仿宋" w:eastAsia="仿宋" w:cs="仿宋"/>
          <w:kern w:val="0"/>
          <w:sz w:val="32"/>
          <w:szCs w:val="32"/>
          <w:u w:val="single"/>
        </w:rPr>
        <w:t xml:space="preserve"> 0.87</w:t>
      </w:r>
      <w:r>
        <w:rPr>
          <w:rFonts w:hint="eastAsia" w:ascii="仿宋" w:hAnsi="仿宋" w:eastAsia="仿宋" w:cs="仿宋"/>
          <w:kern w:val="0"/>
          <w:sz w:val="32"/>
          <w:szCs w:val="32"/>
        </w:rPr>
        <w:t>万元、政府采购工程支出</w:t>
      </w:r>
      <w:r>
        <w:rPr>
          <w:rFonts w:hint="eastAsia" w:ascii="仿宋" w:hAnsi="仿宋" w:eastAsia="仿宋" w:cs="仿宋"/>
          <w:kern w:val="0"/>
          <w:sz w:val="32"/>
          <w:szCs w:val="32"/>
          <w:u w:val="single"/>
        </w:rPr>
        <w:t xml:space="preserve"> 0.00</w:t>
      </w:r>
      <w:r>
        <w:rPr>
          <w:rFonts w:hint="eastAsia" w:ascii="仿宋" w:hAnsi="仿宋" w:eastAsia="仿宋" w:cs="仿宋"/>
          <w:kern w:val="0"/>
          <w:sz w:val="32"/>
          <w:szCs w:val="32"/>
        </w:rPr>
        <w:t>万元、政府采购服务支出</w:t>
      </w:r>
      <w:r>
        <w:rPr>
          <w:rFonts w:hint="eastAsia" w:ascii="仿宋" w:hAnsi="仿宋" w:eastAsia="仿宋" w:cs="仿宋"/>
          <w:kern w:val="0"/>
          <w:sz w:val="32"/>
          <w:szCs w:val="32"/>
          <w:u w:val="single"/>
        </w:rPr>
        <w:t xml:space="preserve"> 298.06</w:t>
      </w:r>
      <w:r>
        <w:rPr>
          <w:rFonts w:hint="eastAsia" w:ascii="仿宋" w:hAnsi="仿宋" w:eastAsia="仿宋" w:cs="仿宋"/>
          <w:kern w:val="0"/>
          <w:sz w:val="32"/>
          <w:szCs w:val="32"/>
        </w:rPr>
        <w:t>万元。政府采购授予中小企业合同金额</w:t>
      </w:r>
      <w:r>
        <w:rPr>
          <w:rFonts w:hint="eastAsia" w:ascii="仿宋" w:hAnsi="仿宋" w:eastAsia="仿宋" w:cs="仿宋"/>
          <w:kern w:val="0"/>
          <w:sz w:val="32"/>
          <w:szCs w:val="32"/>
          <w:u w:val="single"/>
        </w:rPr>
        <w:t xml:space="preserve"> 55.68</w:t>
      </w:r>
      <w:r>
        <w:rPr>
          <w:rFonts w:hint="eastAsia" w:ascii="仿宋" w:hAnsi="仿宋" w:eastAsia="仿宋" w:cs="仿宋"/>
          <w:kern w:val="0"/>
          <w:sz w:val="32"/>
          <w:szCs w:val="32"/>
        </w:rPr>
        <w:t>万元，占政府采购支出总额的</w:t>
      </w:r>
      <w:r>
        <w:rPr>
          <w:rFonts w:hint="eastAsia" w:ascii="仿宋" w:hAnsi="仿宋" w:eastAsia="仿宋" w:cs="仿宋"/>
          <w:kern w:val="0"/>
          <w:sz w:val="32"/>
          <w:szCs w:val="32"/>
          <w:u w:val="single"/>
        </w:rPr>
        <w:t>18.63</w:t>
      </w:r>
      <w:r>
        <w:rPr>
          <w:rFonts w:hint="eastAsia" w:ascii="仿宋" w:hAnsi="仿宋" w:eastAsia="仿宋" w:cs="仿宋"/>
          <w:kern w:val="0"/>
          <w:sz w:val="32"/>
          <w:szCs w:val="32"/>
        </w:rPr>
        <w:t>%，其中：授予小微企业合同金额</w:t>
      </w:r>
      <w:r>
        <w:rPr>
          <w:rFonts w:hint="eastAsia" w:ascii="仿宋" w:hAnsi="仿宋" w:eastAsia="仿宋" w:cs="仿宋"/>
          <w:kern w:val="0"/>
          <w:sz w:val="32"/>
          <w:szCs w:val="32"/>
          <w:u w:val="single"/>
        </w:rPr>
        <w:t>  55.68</w:t>
      </w:r>
      <w:r>
        <w:rPr>
          <w:rFonts w:hint="eastAsia" w:ascii="仿宋" w:hAnsi="仿宋" w:eastAsia="仿宋" w:cs="仿宋"/>
          <w:kern w:val="0"/>
          <w:sz w:val="32"/>
          <w:szCs w:val="32"/>
        </w:rPr>
        <w:t>万元，占政府采购支出总额的</w:t>
      </w:r>
      <w:r>
        <w:rPr>
          <w:rFonts w:hint="eastAsia" w:ascii="仿宋" w:hAnsi="仿宋" w:eastAsia="仿宋" w:cs="仿宋"/>
          <w:kern w:val="0"/>
          <w:sz w:val="32"/>
          <w:szCs w:val="32"/>
          <w:u w:val="single"/>
        </w:rPr>
        <w:t>18.63</w:t>
      </w:r>
      <w:r>
        <w:rPr>
          <w:rFonts w:hint="eastAsia" w:ascii="仿宋" w:hAnsi="仿宋" w:eastAsia="仿宋" w:cs="仿宋"/>
          <w:kern w:val="0"/>
          <w:sz w:val="32"/>
          <w:szCs w:val="32"/>
        </w:rPr>
        <w:t>%；货物采购授予中小企业合同金额占货物</w:t>
      </w:r>
      <w:r>
        <w:rPr>
          <w:rFonts w:hint="eastAsia" w:ascii="仿宋" w:hAnsi="仿宋" w:eastAsia="仿宋" w:cs="仿宋"/>
          <w:kern w:val="0"/>
          <w:sz w:val="32"/>
          <w:szCs w:val="32"/>
          <w:highlight w:val="none"/>
        </w:rPr>
        <w:t>支出金额的</w:t>
      </w:r>
      <w:r>
        <w:rPr>
          <w:rFonts w:hint="eastAsia" w:ascii="仿宋" w:hAnsi="仿宋" w:eastAsia="仿宋" w:cs="仿宋"/>
          <w:kern w:val="0"/>
          <w:sz w:val="32"/>
          <w:szCs w:val="32"/>
          <w:highlight w:val="none"/>
          <w:u w:val="single"/>
          <w:lang w:val="en-US" w:eastAsia="zh-CN"/>
        </w:rPr>
        <w:t>100</w:t>
      </w:r>
      <w:r>
        <w:rPr>
          <w:rFonts w:hint="eastAsia" w:ascii="仿宋" w:hAnsi="仿宋" w:eastAsia="仿宋" w:cs="仿宋"/>
          <w:kern w:val="0"/>
          <w:sz w:val="32"/>
          <w:szCs w:val="32"/>
          <w:highlight w:val="none"/>
        </w:rPr>
        <w:t>%，工程采购授予中小企业合同金额占工程支出金额的</w:t>
      </w:r>
      <w:r>
        <w:rPr>
          <w:rFonts w:hint="eastAsia" w:ascii="仿宋" w:hAnsi="仿宋" w:eastAsia="仿宋" w:cs="仿宋"/>
          <w:kern w:val="0"/>
          <w:sz w:val="32"/>
          <w:szCs w:val="32"/>
          <w:highlight w:val="none"/>
          <w:u w:val="single"/>
        </w:rPr>
        <w:t>0.00</w:t>
      </w:r>
      <w:r>
        <w:rPr>
          <w:rFonts w:hint="eastAsia" w:ascii="仿宋" w:hAnsi="仿宋" w:eastAsia="仿宋" w:cs="仿宋"/>
          <w:kern w:val="0"/>
          <w:sz w:val="32"/>
          <w:szCs w:val="32"/>
          <w:highlight w:val="none"/>
        </w:rPr>
        <w:t>%，服务采购授予中小企业合同金额占服务支出金额的</w:t>
      </w:r>
      <w:r>
        <w:rPr>
          <w:rFonts w:hint="eastAsia" w:ascii="仿宋" w:hAnsi="仿宋" w:eastAsia="仿宋" w:cs="仿宋"/>
          <w:kern w:val="0"/>
          <w:sz w:val="32"/>
          <w:szCs w:val="32"/>
          <w:highlight w:val="none"/>
          <w:u w:val="single"/>
          <w:lang w:val="en-US" w:eastAsia="zh-CN"/>
        </w:rPr>
        <w:t>25.48</w:t>
      </w:r>
      <w:r>
        <w:rPr>
          <w:rFonts w:hint="eastAsia" w:ascii="仿宋" w:hAnsi="仿宋" w:eastAsia="仿宋" w:cs="仿宋"/>
          <w:kern w:val="0"/>
          <w:sz w:val="32"/>
          <w:szCs w:val="32"/>
          <w:highlight w:val="none"/>
        </w:rPr>
        <w:t>%。</w:t>
      </w:r>
    </w:p>
    <w:p w14:paraId="2AAF62AE">
      <w:pPr>
        <w:widowControl/>
        <w:spacing w:before="240" w:after="240"/>
        <w:rPr>
          <w:rFonts w:eastAsia="Times New Roman"/>
          <w:kern w:val="0"/>
          <w:sz w:val="32"/>
          <w:szCs w:val="32"/>
        </w:rPr>
      </w:pPr>
      <w:r>
        <w:rPr>
          <w:rFonts w:ascii="fang_song_gb2312" w:hAnsi="fang_song_gb2312" w:eastAsia="fang_song_gb2312" w:cs="fang_song_gb2312"/>
          <w:color w:val="0E00FE"/>
          <w:kern w:val="0"/>
          <w:sz w:val="32"/>
          <w:szCs w:val="32"/>
        </w:rPr>
        <w:t> </w:t>
      </w: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ascii="黑体" w:hAnsi="黑体" w:eastAsia="黑体" w:cs="黑体"/>
          <w:b/>
          <w:bCs/>
          <w:kern w:val="0"/>
          <w:sz w:val="32"/>
          <w:szCs w:val="32"/>
        </w:rPr>
        <w:t xml:space="preserve"> 十三、国有资产占用情况说明</w:t>
      </w:r>
    </w:p>
    <w:p w14:paraId="1FABAF6D">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32"/>
          <w:szCs w:val="32"/>
        </w:rPr>
        <w:t>   </w:t>
      </w:r>
      <w:r>
        <w:rPr>
          <w:rFonts w:hint="eastAsia" w:ascii="仿宋" w:hAnsi="仿宋" w:eastAsia="仿宋" w:cs="仿宋"/>
          <w:kern w:val="0"/>
          <w:sz w:val="32"/>
          <w:szCs w:val="32"/>
        </w:rPr>
        <w:t xml:space="preserve"> 锡林郭勒盟农牧局（本级） 截至2023年12月31日，本部门（单位）共有车辆</w:t>
      </w:r>
      <w:r>
        <w:rPr>
          <w:rFonts w:hint="eastAsia" w:ascii="仿宋" w:hAnsi="仿宋" w:eastAsia="仿宋" w:cs="仿宋"/>
          <w:kern w:val="0"/>
          <w:sz w:val="32"/>
          <w:szCs w:val="32"/>
          <w:u w:val="single"/>
        </w:rPr>
        <w:t xml:space="preserve"> 7</w:t>
      </w:r>
      <w:r>
        <w:rPr>
          <w:rFonts w:hint="eastAsia" w:ascii="仿宋" w:hAnsi="仿宋" w:eastAsia="仿宋" w:cs="仿宋"/>
          <w:kern w:val="0"/>
          <w:sz w:val="32"/>
          <w:szCs w:val="32"/>
        </w:rPr>
        <w:t>辆，其中：副部（省）级及以上领导用车</w:t>
      </w:r>
      <w:r>
        <w:rPr>
          <w:rFonts w:hint="eastAsia" w:ascii="仿宋" w:hAnsi="仿宋" w:eastAsia="仿宋" w:cs="仿宋"/>
          <w:kern w:val="0"/>
          <w:sz w:val="32"/>
          <w:szCs w:val="32"/>
          <w:u w:val="single"/>
        </w:rPr>
        <w:t xml:space="preserve">0 </w:t>
      </w:r>
      <w:r>
        <w:rPr>
          <w:rFonts w:hint="eastAsia" w:ascii="仿宋" w:hAnsi="仿宋" w:eastAsia="仿宋" w:cs="仿宋"/>
          <w:kern w:val="0"/>
          <w:sz w:val="32"/>
          <w:szCs w:val="32"/>
        </w:rPr>
        <w:t>辆、主要负责人用车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辆、机要通信用车</w:t>
      </w:r>
      <w:r>
        <w:rPr>
          <w:rFonts w:hint="eastAsia" w:ascii="仿宋" w:hAnsi="仿宋" w:eastAsia="仿宋" w:cs="仿宋"/>
          <w:kern w:val="0"/>
          <w:sz w:val="32"/>
          <w:szCs w:val="32"/>
          <w:u w:val="single"/>
        </w:rPr>
        <w:t xml:space="preserve"> 2</w:t>
      </w:r>
      <w:r>
        <w:rPr>
          <w:rFonts w:hint="eastAsia" w:ascii="仿宋" w:hAnsi="仿宋" w:eastAsia="仿宋" w:cs="仿宋"/>
          <w:kern w:val="0"/>
          <w:sz w:val="32"/>
          <w:szCs w:val="32"/>
        </w:rPr>
        <w:t>辆、应急保障用车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辆、执法执勤用车</w:t>
      </w:r>
      <w:r>
        <w:rPr>
          <w:rFonts w:hint="eastAsia" w:ascii="仿宋" w:hAnsi="仿宋" w:eastAsia="仿宋" w:cs="仿宋"/>
          <w:kern w:val="0"/>
          <w:sz w:val="32"/>
          <w:szCs w:val="32"/>
          <w:u w:val="single"/>
        </w:rPr>
        <w:t xml:space="preserve"> 4</w:t>
      </w:r>
      <w:r>
        <w:rPr>
          <w:rFonts w:hint="eastAsia" w:ascii="仿宋" w:hAnsi="仿宋" w:eastAsia="仿宋" w:cs="仿宋"/>
          <w:kern w:val="0"/>
          <w:sz w:val="32"/>
          <w:szCs w:val="32"/>
        </w:rPr>
        <w:t>辆、特种专业技术用车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辆、离退休干部服务用车</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辆，其他用车</w:t>
      </w:r>
      <w:r>
        <w:rPr>
          <w:rFonts w:hint="eastAsia" w:ascii="仿宋" w:hAnsi="仿宋" w:eastAsia="仿宋" w:cs="仿宋"/>
          <w:kern w:val="0"/>
          <w:sz w:val="32"/>
          <w:szCs w:val="32"/>
          <w:u w:val="single"/>
        </w:rPr>
        <w:t xml:space="preserve"> 1</w:t>
      </w:r>
      <w:r>
        <w:rPr>
          <w:rFonts w:hint="eastAsia" w:ascii="仿宋" w:hAnsi="仿宋" w:eastAsia="仿宋" w:cs="仿宋"/>
          <w:kern w:val="0"/>
          <w:sz w:val="32"/>
          <w:szCs w:val="32"/>
        </w:rPr>
        <w:t>辆；单价100万元（含）以上的设备（不含车辆）</w:t>
      </w:r>
      <w:r>
        <w:rPr>
          <w:rFonts w:hint="eastAsia" w:ascii="仿宋" w:hAnsi="仿宋" w:eastAsia="仿宋" w:cs="仿宋"/>
          <w:kern w:val="0"/>
          <w:sz w:val="32"/>
          <w:szCs w:val="32"/>
          <w:u w:val="single"/>
        </w:rPr>
        <w:t xml:space="preserve"> 0</w:t>
      </w:r>
      <w:r>
        <w:rPr>
          <w:rFonts w:hint="eastAsia" w:ascii="仿宋" w:hAnsi="仿宋" w:eastAsia="仿宋" w:cs="仿宋"/>
          <w:kern w:val="0"/>
          <w:sz w:val="32"/>
          <w:szCs w:val="32"/>
        </w:rPr>
        <w:t>台（套）。</w:t>
      </w:r>
    </w:p>
    <w:p w14:paraId="17CE3C37">
      <w:pPr>
        <w:widowControl/>
        <w:spacing w:before="240" w:after="240"/>
        <w:rPr>
          <w:rFonts w:eastAsia="Times New Roman"/>
          <w:kern w:val="0"/>
          <w:sz w:val="32"/>
          <w:szCs w:val="32"/>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w:t>
      </w:r>
      <w:r>
        <w:rPr>
          <w:rFonts w:ascii="黑体" w:hAnsi="黑体" w:eastAsia="黑体" w:cs="黑体"/>
          <w:b/>
          <w:bCs/>
          <w:kern w:val="0"/>
          <w:sz w:val="32"/>
          <w:szCs w:val="32"/>
        </w:rPr>
        <w:t>四、预算绩效情况说明</w:t>
      </w:r>
    </w:p>
    <w:p w14:paraId="3195EC2B">
      <w:pPr>
        <w:widowControl/>
        <w:spacing w:before="240" w:after="240"/>
        <w:jc w:val="left"/>
        <w:rPr>
          <w:rFonts w:eastAsia="Times New Roman"/>
          <w:kern w:val="0"/>
          <w:sz w:val="32"/>
          <w:szCs w:val="32"/>
        </w:rPr>
      </w:pPr>
      <w:r>
        <w:rPr>
          <w:rFonts w:ascii="kai_ti_gb2312" w:hAnsi="kai_ti_gb2312" w:eastAsia="kai_ti_gb2312" w:cs="kai_ti_gb2312"/>
          <w:b/>
          <w:bCs/>
          <w:kern w:val="0"/>
          <w:sz w:val="32"/>
          <w:szCs w:val="32"/>
        </w:rPr>
        <w:t>    （一）预算绩效管理工作开展情况。</w:t>
      </w:r>
    </w:p>
    <w:p w14:paraId="58CAEF44">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32"/>
          <w:szCs w:val="32"/>
        </w:rPr>
        <w:t xml:space="preserve">    </w:t>
      </w:r>
      <w:r>
        <w:rPr>
          <w:rFonts w:hint="eastAsia" w:ascii="仿宋" w:hAnsi="仿宋" w:eastAsia="仿宋" w:cs="仿宋"/>
          <w:kern w:val="0"/>
          <w:sz w:val="32"/>
          <w:szCs w:val="32"/>
        </w:rPr>
        <w:t>锡林郭勒盟农牧局（本级） 根据预算绩效管理要求组织对2023年一般公共预算项目支出全面开展绩效自评，其中一级项目</w:t>
      </w:r>
      <w:r>
        <w:rPr>
          <w:rFonts w:hint="eastAsia" w:ascii="仿宋" w:hAnsi="仿宋" w:eastAsia="仿宋" w:cs="仿宋"/>
          <w:kern w:val="0"/>
          <w:sz w:val="32"/>
          <w:szCs w:val="32"/>
          <w:u w:val="single"/>
        </w:rPr>
        <w:t>0</w:t>
      </w:r>
      <w:r>
        <w:rPr>
          <w:rFonts w:hint="eastAsia" w:ascii="仿宋" w:hAnsi="仿宋" w:eastAsia="仿宋" w:cs="仿宋"/>
          <w:kern w:val="0"/>
          <w:sz w:val="32"/>
          <w:szCs w:val="32"/>
        </w:rPr>
        <w:t>个，二级项目</w:t>
      </w:r>
      <w:r>
        <w:rPr>
          <w:rFonts w:hint="eastAsia" w:ascii="仿宋" w:hAnsi="仿宋" w:eastAsia="仿宋" w:cs="仿宋"/>
          <w:kern w:val="0"/>
          <w:sz w:val="32"/>
          <w:szCs w:val="32"/>
          <w:u w:val="single"/>
        </w:rPr>
        <w:t>50</w:t>
      </w:r>
      <w:r>
        <w:rPr>
          <w:rFonts w:hint="eastAsia" w:ascii="仿宋" w:hAnsi="仿宋" w:eastAsia="仿宋" w:cs="仿宋"/>
          <w:kern w:val="0"/>
          <w:sz w:val="32"/>
          <w:szCs w:val="32"/>
        </w:rPr>
        <w:t>个，共涉及资金</w:t>
      </w:r>
      <w:r>
        <w:rPr>
          <w:rFonts w:hint="eastAsia" w:ascii="仿宋" w:hAnsi="仿宋" w:eastAsia="仿宋" w:cs="仿宋"/>
          <w:kern w:val="0"/>
          <w:sz w:val="32"/>
          <w:szCs w:val="32"/>
          <w:u w:val="single"/>
        </w:rPr>
        <w:t>912.67</w:t>
      </w:r>
      <w:r>
        <w:rPr>
          <w:rFonts w:hint="eastAsia" w:ascii="仿宋" w:hAnsi="仿宋" w:eastAsia="仿宋" w:cs="仿宋"/>
          <w:kern w:val="0"/>
          <w:sz w:val="32"/>
          <w:szCs w:val="32"/>
        </w:rPr>
        <w:t>万元，占一般公共预算项目支出总额的100%；政府性基金预算项目</w:t>
      </w:r>
      <w:r>
        <w:rPr>
          <w:rFonts w:hint="eastAsia" w:ascii="仿宋" w:hAnsi="仿宋" w:eastAsia="仿宋" w:cs="仿宋"/>
          <w:kern w:val="0"/>
          <w:sz w:val="32"/>
          <w:szCs w:val="32"/>
          <w:u w:val="single"/>
        </w:rPr>
        <w:t>0</w:t>
      </w:r>
      <w:r>
        <w:rPr>
          <w:rFonts w:hint="eastAsia" w:ascii="仿宋" w:hAnsi="仿宋" w:eastAsia="仿宋" w:cs="仿宋"/>
          <w:kern w:val="0"/>
          <w:sz w:val="32"/>
          <w:szCs w:val="32"/>
        </w:rPr>
        <w:t>个，其中，一级项目</w:t>
      </w:r>
      <w:r>
        <w:rPr>
          <w:rFonts w:hint="eastAsia" w:ascii="仿宋" w:hAnsi="仿宋" w:eastAsia="仿宋" w:cs="仿宋"/>
          <w:kern w:val="0"/>
          <w:sz w:val="32"/>
          <w:szCs w:val="32"/>
          <w:u w:val="single"/>
        </w:rPr>
        <w:t>  0  </w:t>
      </w:r>
      <w:r>
        <w:rPr>
          <w:rFonts w:hint="eastAsia" w:ascii="仿宋" w:hAnsi="仿宋" w:eastAsia="仿宋" w:cs="仿宋"/>
          <w:kern w:val="0"/>
          <w:sz w:val="32"/>
          <w:szCs w:val="32"/>
        </w:rPr>
        <w:t>个，二级项目</w:t>
      </w:r>
      <w:r>
        <w:rPr>
          <w:rFonts w:hint="eastAsia" w:ascii="仿宋" w:hAnsi="仿宋" w:eastAsia="仿宋" w:cs="仿宋"/>
          <w:kern w:val="0"/>
          <w:sz w:val="32"/>
          <w:szCs w:val="32"/>
          <w:u w:val="single"/>
        </w:rPr>
        <w:t>0</w:t>
      </w:r>
      <w:r>
        <w:rPr>
          <w:rFonts w:hint="eastAsia" w:ascii="仿宋" w:hAnsi="仿宋" w:eastAsia="仿宋" w:cs="仿宋"/>
          <w:kern w:val="0"/>
          <w:sz w:val="32"/>
          <w:szCs w:val="32"/>
        </w:rPr>
        <w:t>个，共涉及资金</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万元，占应纳入绩效自评的政府性基金预算项目支出总额的100%。</w:t>
      </w:r>
    </w:p>
    <w:p w14:paraId="22B0ED23">
      <w:pPr>
        <w:widowControl/>
        <w:spacing w:before="240" w:after="240"/>
        <w:ind w:firstLine="414"/>
        <w:rPr>
          <w:rFonts w:hint="eastAsia" w:ascii="仿宋" w:hAnsi="仿宋" w:eastAsia="仿宋" w:cs="仿宋"/>
          <w:kern w:val="0"/>
          <w:sz w:val="32"/>
          <w:szCs w:val="32"/>
        </w:rPr>
      </w:pPr>
      <w:r>
        <w:rPr>
          <w:rFonts w:hint="eastAsia" w:ascii="仿宋" w:hAnsi="仿宋" w:eastAsia="仿宋" w:cs="仿宋"/>
          <w:kern w:val="0"/>
          <w:sz w:val="32"/>
          <w:szCs w:val="32"/>
        </w:rPr>
        <w:t>组织对“草原生态保护补助奖励盟级配套项目”、“肉牛良种繁育项目”、“全盟地方特色乳制品产业重点工作资金项目”、“良种肉牛产业发展扶持项目资金”等</w:t>
      </w:r>
      <w:r>
        <w:rPr>
          <w:rFonts w:hint="eastAsia" w:ascii="仿宋" w:hAnsi="仿宋" w:eastAsia="仿宋" w:cs="仿宋"/>
          <w:kern w:val="0"/>
          <w:sz w:val="32"/>
          <w:szCs w:val="32"/>
          <w:u w:val="single"/>
        </w:rPr>
        <w:t> </w:t>
      </w:r>
      <w:r>
        <w:rPr>
          <w:rFonts w:hint="eastAsia" w:ascii="仿宋" w:hAnsi="仿宋" w:eastAsia="仿宋" w:cs="仿宋"/>
          <w:kern w:val="0"/>
          <w:sz w:val="32"/>
          <w:szCs w:val="32"/>
          <w:u w:val="single"/>
          <w:lang w:val="en-US" w:eastAsia="zh-CN"/>
        </w:rPr>
        <w:t>3</w:t>
      </w:r>
      <w:r>
        <w:rPr>
          <w:rFonts w:hint="eastAsia" w:ascii="仿宋" w:hAnsi="仿宋" w:eastAsia="仿宋" w:cs="仿宋"/>
          <w:kern w:val="0"/>
          <w:sz w:val="32"/>
          <w:szCs w:val="32"/>
          <w:u w:val="single"/>
        </w:rPr>
        <w:t>  </w:t>
      </w:r>
      <w:r>
        <w:rPr>
          <w:rFonts w:hint="eastAsia" w:ascii="仿宋" w:hAnsi="仿宋" w:eastAsia="仿宋" w:cs="仿宋"/>
          <w:kern w:val="0"/>
          <w:sz w:val="32"/>
          <w:szCs w:val="32"/>
        </w:rPr>
        <w:t>个项目开展了部门评价，涉及一般公共预算支出</w:t>
      </w:r>
      <w:r>
        <w:rPr>
          <w:rFonts w:hint="eastAsia" w:ascii="仿宋" w:hAnsi="仿宋" w:eastAsia="仿宋" w:cs="仿宋"/>
          <w:kern w:val="0"/>
          <w:sz w:val="32"/>
          <w:szCs w:val="32"/>
          <w:u w:val="single"/>
          <w:lang w:val="en-US" w:eastAsia="zh-CN"/>
        </w:rPr>
        <w:t>5995</w:t>
      </w:r>
      <w:r>
        <w:rPr>
          <w:rFonts w:hint="eastAsia" w:ascii="仿宋" w:hAnsi="仿宋" w:eastAsia="仿宋" w:cs="仿宋"/>
          <w:kern w:val="0"/>
          <w:sz w:val="32"/>
          <w:szCs w:val="32"/>
          <w:u w:val="single"/>
        </w:rPr>
        <w:t>.90</w:t>
      </w:r>
      <w:r>
        <w:rPr>
          <w:rFonts w:hint="eastAsia" w:ascii="仿宋" w:hAnsi="仿宋" w:eastAsia="仿宋" w:cs="仿宋"/>
          <w:kern w:val="0"/>
          <w:sz w:val="32"/>
          <w:szCs w:val="32"/>
        </w:rPr>
        <w:t>万元，政府性基金支出</w:t>
      </w:r>
      <w:r>
        <w:rPr>
          <w:rFonts w:hint="eastAsia" w:ascii="仿宋" w:hAnsi="仿宋" w:eastAsia="仿宋" w:cs="仿宋"/>
          <w:kern w:val="0"/>
          <w:sz w:val="32"/>
          <w:szCs w:val="32"/>
          <w:u w:val="single"/>
        </w:rPr>
        <w:t>0.00</w:t>
      </w:r>
      <w:r>
        <w:rPr>
          <w:rFonts w:hint="eastAsia" w:ascii="仿宋" w:hAnsi="仿宋" w:eastAsia="仿宋" w:cs="仿宋"/>
          <w:kern w:val="0"/>
          <w:sz w:val="32"/>
          <w:szCs w:val="32"/>
        </w:rPr>
        <w:t>万元。其中，对“草原生态保护补助奖励盟级配套项目”、“全盟地方特色乳制品产业重点工作资金项目”、“良种肉牛产业发展扶持项目资金”项目分别委托相关第三方机构开展绩效评价。从评价情况看：</w:t>
      </w:r>
    </w:p>
    <w:p w14:paraId="4476CC2B">
      <w:pPr>
        <w:widowControl/>
        <w:spacing w:before="240" w:after="240"/>
        <w:ind w:firstLine="414"/>
        <w:rPr>
          <w:rFonts w:hint="eastAsia" w:ascii="仿宋" w:hAnsi="仿宋" w:eastAsia="仿宋" w:cs="仿宋"/>
          <w:kern w:val="0"/>
          <w:sz w:val="32"/>
          <w:szCs w:val="32"/>
        </w:rPr>
      </w:pPr>
      <w:r>
        <w:rPr>
          <w:rFonts w:hint="eastAsia" w:ascii="仿宋" w:hAnsi="仿宋" w:eastAsia="仿宋" w:cs="仿宋"/>
          <w:kern w:val="0"/>
          <w:sz w:val="32"/>
          <w:szCs w:val="32"/>
        </w:rPr>
        <w:t>草原生态保护补助奖励盟级配套2023年度绩效中介评分90.3分。绩效评价建议：1.加强绩效目标的准确度。项目绩效目标的准确度存在不足，建议项目单位今后在编制绩效目标的过程中，根据项目的预期完成情况、合同设定，细化绩效指标，分别设定具体的指标值。指标值应尽量细化、量化，可量化的用数值描述，不可量化的用定性描述。如：成本指标应反映预期提供的公共产品或服务所产生的成本，按照实际计划支出内容进行细化。根据项目具体情况设立绩效目标和绩效指标。2.强化绩效评价和反馈。建立完善的绩效评价和反馈机制，对项目执行情况进行定期评估和反馈。根据评估结果及时调整项目计划和预算，提高项目资金执行率。3.财政预算安排调整建议。根据下发文件确定草原奖补面积合理申请资金，严格按照《内蒙古自治区财政厅农牧厅林草局关于印发内蒙古自治区第三轮草原生态保护补助奖励政策实施方案 (2021-2025年)的通知》内财农[2021] 1190号文件进行资金发放，还应加强对项目的监管和评估。通过建立健全的监管机制和评估体系，可以及时发现问题、纠正偏差，确保补助奖励政策能够真正发挥实效。</w:t>
      </w:r>
    </w:p>
    <w:p w14:paraId="01D5E8E2">
      <w:pPr>
        <w:widowControl/>
        <w:spacing w:before="240" w:after="240"/>
        <w:ind w:firstLine="414"/>
        <w:rPr>
          <w:rFonts w:hint="eastAsia" w:ascii="仿宋" w:hAnsi="仿宋" w:eastAsia="仿宋" w:cs="仿宋"/>
          <w:kern w:val="0"/>
          <w:sz w:val="32"/>
          <w:szCs w:val="32"/>
        </w:rPr>
      </w:pPr>
      <w:r>
        <w:rPr>
          <w:rFonts w:hint="eastAsia" w:ascii="仿宋" w:hAnsi="仿宋" w:eastAsia="仿宋" w:cs="仿宋"/>
          <w:kern w:val="0"/>
          <w:sz w:val="32"/>
          <w:szCs w:val="32"/>
        </w:rPr>
        <w:t>全盟地方特色乳制品产业重点工作资金2023年度绩效中介评分91.2分。绩效评价建议：1.加强绩效年度预期目标的设定。绩效目标是指预算资金计划在一定期限内达到的产出和效果，是建设项目库、编制部门预算、实施绩效运行监控、开展绩效评价等的重要基础和依据。建议项目单位在项目立项阶段，明确项目的总体绩效目标后，分析重点工作任务，将其分解成多个子目标，细化任务清单。绩效目标设定应做到指向明确、具体细化、合理可行，与行业发展规划、计划相符，有明确的产出和效益。项目单位在执行过程中，发现实际工作内容与预期目标偏离时，应及时报送盟财政预算绩效评审服务中心修改绩效目标表。2.加强绩效指标细化的准确度。建议项目单位在选定绩效指标后，参考相关历史数据、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指标值应尽量细化、量化，可量化的用数值描述，不可量化的用定性描述。</w:t>
      </w:r>
    </w:p>
    <w:p w14:paraId="4F2EDDBE">
      <w:pPr>
        <w:widowControl/>
        <w:spacing w:before="240" w:after="240"/>
        <w:ind w:firstLine="414"/>
        <w:rPr>
          <w:rFonts w:hint="eastAsia" w:ascii="仿宋" w:hAnsi="仿宋" w:eastAsia="仿宋" w:cs="仿宋"/>
          <w:kern w:val="0"/>
          <w:sz w:val="32"/>
          <w:szCs w:val="32"/>
        </w:rPr>
      </w:pPr>
      <w:r>
        <w:rPr>
          <w:rFonts w:hint="eastAsia" w:ascii="仿宋" w:hAnsi="仿宋" w:eastAsia="仿宋" w:cs="仿宋"/>
          <w:kern w:val="0"/>
          <w:sz w:val="32"/>
          <w:szCs w:val="32"/>
        </w:rPr>
        <w:t>良种肉牛产业发展扶持项目资金2023年度绩效中介评分92分。绩效评价建议：1.加强绩效年度预期目标的设定。绩效目标是指预算资金计划在一定期限内达到的产出和效果，是建设项目库、编制部门预算、实施绩效运行监控、开展绩效评价等的重要基础和依据。建议项目单位在项目立项阶段，明确项目的总体绩效目标后，分析重点工作任务，将其分解成多个子目标，细化任务清单。绩效目标设定应做到指向明确、具体细化、合理可行，与行业发展规划、计划相符，有明确的产出和效益。项目单位在执行过程中，发现实际工作内容与预期目标偏离时，应及时报送盟财政预算绩效评审服务中心修改绩效目标表。2.加强绩效指标细化的准确度建议项目单位在选定绩效指标后，参考相关历史数据、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指标值应尽量细化、量化，可量化的用数值描述，不可量化的用定性描述。</w:t>
      </w:r>
    </w:p>
    <w:p w14:paraId="4E831F2E">
      <w:pPr>
        <w:widowControl/>
        <w:spacing w:before="240" w:after="240"/>
        <w:jc w:val="left"/>
        <w:rPr>
          <w:rFonts w:eastAsia="Times New Roman"/>
          <w:kern w:val="0"/>
          <w:sz w:val="30"/>
          <w:szCs w:val="30"/>
        </w:rPr>
      </w:pPr>
      <w:r>
        <w:rPr>
          <w:rFonts w:ascii="kai_ti_gb2312" w:hAnsi="kai_ti_gb2312" w:eastAsia="kai_ti_gb2312" w:cs="kai_ti_gb2312"/>
          <w:b/>
          <w:bCs/>
          <w:kern w:val="0"/>
          <w:sz w:val="27"/>
          <w:szCs w:val="27"/>
        </w:rPr>
        <w:t xml:space="preserve">  </w:t>
      </w:r>
      <w:r>
        <w:rPr>
          <w:rFonts w:ascii="kai_ti_gb2312" w:hAnsi="kai_ti_gb2312" w:eastAsia="kai_ti_gb2312" w:cs="kai_ti_gb2312"/>
          <w:b/>
          <w:bCs/>
          <w:kern w:val="0"/>
          <w:sz w:val="30"/>
          <w:szCs w:val="30"/>
        </w:rPr>
        <w:t>  （二）单位决算中项目绩效自评结果。</w:t>
      </w:r>
    </w:p>
    <w:p w14:paraId="11A97C39">
      <w:pPr>
        <w:widowControl/>
        <w:spacing w:before="240" w:after="240"/>
        <w:rPr>
          <w:rFonts w:hint="eastAsia" w:ascii="仿宋" w:hAnsi="仿宋" w:eastAsia="仿宋" w:cs="仿宋"/>
          <w:kern w:val="0"/>
          <w:sz w:val="32"/>
          <w:szCs w:val="32"/>
        </w:rPr>
      </w:pPr>
      <w:r>
        <w:rPr>
          <w:rFonts w:ascii="fang_song_gb2312" w:hAnsi="fang_song_gb2312" w:eastAsia="fang_song_gb2312" w:cs="fang_song_gb2312"/>
          <w:kern w:val="0"/>
          <w:sz w:val="30"/>
          <w:szCs w:val="30"/>
        </w:rPr>
        <w:t>   </w:t>
      </w:r>
      <w:r>
        <w:rPr>
          <w:rFonts w:hint="eastAsia" w:ascii="仿宋" w:hAnsi="仿宋" w:eastAsia="仿宋" w:cs="仿宋"/>
          <w:kern w:val="0"/>
          <w:sz w:val="32"/>
          <w:szCs w:val="32"/>
        </w:rPr>
        <w:t xml:space="preserve"> 锡林郭勒盟农牧局（本级）2023年度在决算中反映</w:t>
      </w:r>
      <w:r>
        <w:rPr>
          <w:rFonts w:hint="eastAsia" w:ascii="仿宋" w:hAnsi="仿宋" w:eastAsia="仿宋" w:cs="仿宋"/>
          <w:kern w:val="0"/>
          <w:sz w:val="32"/>
          <w:szCs w:val="32"/>
          <w:u w:val="single"/>
        </w:rPr>
        <w:t>50</w:t>
      </w:r>
      <w:r>
        <w:rPr>
          <w:rFonts w:hint="eastAsia" w:ascii="仿宋" w:hAnsi="仿宋" w:eastAsia="仿宋" w:cs="仿宋"/>
          <w:kern w:val="0"/>
          <w:sz w:val="32"/>
          <w:szCs w:val="32"/>
        </w:rPr>
        <w:t>个一般公共预算项目，以及</w:t>
      </w:r>
      <w:r>
        <w:rPr>
          <w:rFonts w:hint="eastAsia" w:ascii="仿宋" w:hAnsi="仿宋" w:eastAsia="仿宋" w:cs="仿宋"/>
          <w:kern w:val="0"/>
          <w:sz w:val="32"/>
          <w:szCs w:val="32"/>
          <w:u w:val="single"/>
        </w:rPr>
        <w:t>0</w:t>
      </w:r>
      <w:r>
        <w:rPr>
          <w:rFonts w:hint="eastAsia" w:ascii="仿宋" w:hAnsi="仿宋" w:eastAsia="仿宋" w:cs="仿宋"/>
          <w:kern w:val="0"/>
          <w:sz w:val="32"/>
          <w:szCs w:val="32"/>
        </w:rPr>
        <w:t>个政府性基金项目，共</w:t>
      </w:r>
      <w:r>
        <w:rPr>
          <w:rFonts w:hint="eastAsia" w:ascii="仿宋" w:hAnsi="仿宋" w:eastAsia="仿宋" w:cs="仿宋"/>
          <w:kern w:val="0"/>
          <w:sz w:val="32"/>
          <w:szCs w:val="32"/>
          <w:u w:val="single"/>
        </w:rPr>
        <w:t>50</w:t>
      </w:r>
      <w:r>
        <w:rPr>
          <w:rFonts w:hint="eastAsia" w:ascii="仿宋" w:hAnsi="仿宋" w:eastAsia="仿宋" w:cs="仿宋"/>
          <w:kern w:val="0"/>
          <w:sz w:val="32"/>
          <w:szCs w:val="32"/>
        </w:rPr>
        <w:t>个项目的绩效自评结果。</w:t>
      </w:r>
    </w:p>
    <w:p w14:paraId="0FEDB739">
      <w:pPr>
        <w:widowControl/>
        <w:spacing w:before="240" w:after="240"/>
        <w:rPr>
          <w:rFonts w:hint="eastAsia" w:ascii="仿宋" w:hAnsi="仿宋" w:eastAsia="仿宋" w:cs="仿宋"/>
          <w:kern w:val="0"/>
          <w:sz w:val="32"/>
          <w:szCs w:val="32"/>
        </w:rPr>
      </w:pPr>
      <w:r>
        <w:rPr>
          <w:rFonts w:hint="eastAsia" w:ascii="仿宋" w:hAnsi="仿宋" w:eastAsia="仿宋" w:cs="仿宋"/>
          <w:kern w:val="0"/>
          <w:sz w:val="32"/>
          <w:szCs w:val="32"/>
        </w:rPr>
        <w:t>    1.</w:t>
      </w:r>
      <w:r>
        <w:rPr>
          <w:rFonts w:hint="eastAsia" w:ascii="仿宋" w:hAnsi="仿宋" w:eastAsia="仿宋" w:cs="仿宋"/>
          <w:sz w:val="32"/>
          <w:szCs w:val="32"/>
        </w:rPr>
        <w:t xml:space="preserve"> </w:t>
      </w:r>
      <w:r>
        <w:rPr>
          <w:rFonts w:hint="eastAsia" w:ascii="仿宋" w:hAnsi="仿宋" w:eastAsia="仿宋" w:cs="仿宋"/>
          <w:kern w:val="0"/>
          <w:sz w:val="32"/>
          <w:szCs w:val="32"/>
        </w:rPr>
        <w:t>华西牛认证工作经费项目自评综述：根据年初设定的绩效目标，项目自评得分</w:t>
      </w:r>
      <w:r>
        <w:rPr>
          <w:rFonts w:hint="eastAsia" w:ascii="仿宋" w:hAnsi="仿宋" w:eastAsia="仿宋" w:cs="仿宋"/>
          <w:kern w:val="0"/>
          <w:sz w:val="32"/>
          <w:szCs w:val="32"/>
          <w:u w:val="single"/>
        </w:rPr>
        <w:t>99.54</w:t>
      </w:r>
      <w:r>
        <w:rPr>
          <w:rFonts w:hint="eastAsia" w:ascii="仿宋" w:hAnsi="仿宋" w:eastAsia="仿宋" w:cs="仿宋"/>
          <w:kern w:val="0"/>
          <w:sz w:val="32"/>
          <w:szCs w:val="32"/>
        </w:rPr>
        <w:t>分。全年预算数为</w:t>
      </w:r>
      <w:r>
        <w:rPr>
          <w:rFonts w:hint="eastAsia" w:ascii="仿宋" w:hAnsi="仿宋" w:eastAsia="仿宋" w:cs="仿宋"/>
          <w:kern w:val="0"/>
          <w:sz w:val="32"/>
          <w:szCs w:val="32"/>
          <w:u w:val="single"/>
        </w:rPr>
        <w:t>200.00</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rPr>
        <w:t>195.31</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97.66</w:t>
      </w:r>
      <w:r>
        <w:rPr>
          <w:rFonts w:hint="eastAsia" w:ascii="仿宋" w:hAnsi="仿宋" w:eastAsia="仿宋" w:cs="仿宋"/>
          <w:kern w:val="0"/>
          <w:sz w:val="32"/>
          <w:szCs w:val="32"/>
        </w:rPr>
        <w:t>%。项目绩效目标完成情况：开展华西牛认定、选育工作，扩大锡林郭勒盟华西牛育种项目场（户）。指导开展华西牛育种场户生产性能测定、系谱档案的建立、数据校正上传、遗传评估等工作。全年预算数200.00万元，为了以持续稳定的合作为肉牛种业翻身仗作保证，支付北京畜牧兽医研究所195.00万元委托业务费；为开展国家级核心育种场遴选和现场核验工作，支出了差旅费0.31万元。发现的主要问题及原因：无。下一步改进措施：无。</w:t>
      </w:r>
    </w:p>
    <w:tbl>
      <w:tblPr>
        <w:tblStyle w:val="20"/>
        <w:tblW w:w="5000" w:type="pct"/>
        <w:tblInd w:w="0" w:type="dxa"/>
        <w:tblLayout w:type="autofit"/>
        <w:tblCellMar>
          <w:top w:w="0" w:type="dxa"/>
          <w:left w:w="108" w:type="dxa"/>
          <w:bottom w:w="0" w:type="dxa"/>
          <w:right w:w="108" w:type="dxa"/>
        </w:tblCellMar>
      </w:tblPr>
      <w:tblGrid>
        <w:gridCol w:w="669"/>
        <w:gridCol w:w="731"/>
        <w:gridCol w:w="703"/>
        <w:gridCol w:w="494"/>
        <w:gridCol w:w="507"/>
        <w:gridCol w:w="309"/>
        <w:gridCol w:w="402"/>
        <w:gridCol w:w="702"/>
        <w:gridCol w:w="483"/>
        <w:gridCol w:w="363"/>
        <w:gridCol w:w="849"/>
        <w:gridCol w:w="373"/>
        <w:gridCol w:w="332"/>
        <w:gridCol w:w="461"/>
        <w:gridCol w:w="387"/>
        <w:gridCol w:w="851"/>
        <w:gridCol w:w="373"/>
        <w:gridCol w:w="967"/>
      </w:tblGrid>
      <w:tr w14:paraId="7B2D84F1">
        <w:tblPrEx>
          <w:tblCellMar>
            <w:top w:w="0" w:type="dxa"/>
            <w:left w:w="108" w:type="dxa"/>
            <w:bottom w:w="0" w:type="dxa"/>
            <w:right w:w="108" w:type="dxa"/>
          </w:tblCellMar>
        </w:tblPrEx>
        <w:trPr>
          <w:trHeight w:val="960"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vAlign w:val="center"/>
          </w:tcPr>
          <w:p w14:paraId="0AD90B25">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项目支出绩效自评表(2023年度）</w:t>
            </w:r>
          </w:p>
        </w:tc>
      </w:tr>
      <w:tr w14:paraId="1D7AF274">
        <w:tblPrEx>
          <w:tblCellMar>
            <w:top w:w="0" w:type="dxa"/>
            <w:left w:w="108" w:type="dxa"/>
            <w:bottom w:w="0" w:type="dxa"/>
            <w:right w:w="108" w:type="dxa"/>
          </w:tblCellMar>
        </w:tblPrEx>
        <w:trPr>
          <w:trHeight w:val="379" w:hRule="atLeast"/>
        </w:trPr>
        <w:tc>
          <w:tcPr>
            <w:tcW w:w="7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23F449">
            <w:pPr>
              <w:widowControl/>
              <w:ind w:right="360"/>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4295" w:type="pct"/>
            <w:gridSpan w:val="16"/>
            <w:tcBorders>
              <w:top w:val="single" w:color="auto" w:sz="4" w:space="0"/>
              <w:left w:val="nil"/>
              <w:bottom w:val="single" w:color="auto" w:sz="4" w:space="0"/>
              <w:right w:val="single" w:color="auto" w:sz="4" w:space="0"/>
            </w:tcBorders>
            <w:shd w:val="clear" w:color="auto" w:fill="auto"/>
            <w:vAlign w:val="center"/>
          </w:tcPr>
          <w:p w14:paraId="2D7CE82D">
            <w:pPr>
              <w:widowControl/>
              <w:rPr>
                <w:rFonts w:ascii="宋体" w:hAnsi="宋体" w:cs="宋体"/>
                <w:color w:val="000000"/>
                <w:kern w:val="0"/>
                <w:sz w:val="20"/>
                <w:szCs w:val="20"/>
              </w:rPr>
            </w:pPr>
            <w:r>
              <w:rPr>
                <w:rFonts w:hint="eastAsia" w:ascii="宋体" w:hAnsi="宋体" w:cs="宋体"/>
                <w:color w:val="000000"/>
                <w:kern w:val="0"/>
                <w:sz w:val="20"/>
                <w:szCs w:val="20"/>
              </w:rPr>
              <w:t>华西牛认证工作经费</w:t>
            </w:r>
          </w:p>
        </w:tc>
      </w:tr>
      <w:tr w14:paraId="5AE507CF">
        <w:tblPrEx>
          <w:tblCellMar>
            <w:top w:w="0" w:type="dxa"/>
            <w:left w:w="108" w:type="dxa"/>
            <w:bottom w:w="0" w:type="dxa"/>
            <w:right w:w="108" w:type="dxa"/>
          </w:tblCellMar>
        </w:tblPrEx>
        <w:trPr>
          <w:trHeight w:val="379" w:hRule="atLeast"/>
        </w:trPr>
        <w:tc>
          <w:tcPr>
            <w:tcW w:w="7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618CAB">
            <w:pPr>
              <w:widowControl/>
              <w:ind w:right="360"/>
              <w:jc w:val="center"/>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1801" w:type="pct"/>
            <w:gridSpan w:val="7"/>
            <w:tcBorders>
              <w:top w:val="single" w:color="auto" w:sz="4" w:space="0"/>
              <w:left w:val="nil"/>
              <w:bottom w:val="single" w:color="auto" w:sz="4" w:space="0"/>
              <w:right w:val="single" w:color="auto" w:sz="4" w:space="0"/>
            </w:tcBorders>
            <w:shd w:val="clear" w:color="auto" w:fill="auto"/>
            <w:vAlign w:val="center"/>
          </w:tcPr>
          <w:p w14:paraId="7D5E5B95">
            <w:pPr>
              <w:widowControl/>
              <w:rPr>
                <w:rFonts w:ascii="宋体" w:hAnsi="宋体" w:cs="宋体"/>
                <w:color w:val="000000"/>
                <w:kern w:val="0"/>
                <w:sz w:val="20"/>
                <w:szCs w:val="20"/>
              </w:rPr>
            </w:pPr>
            <w:r>
              <w:rPr>
                <w:rFonts w:hint="eastAsia" w:ascii="宋体" w:hAnsi="宋体" w:cs="宋体"/>
                <w:color w:val="000000"/>
                <w:kern w:val="0"/>
                <w:sz w:val="20"/>
                <w:szCs w:val="20"/>
              </w:rPr>
              <w:t>锡林郭勒盟农牧局（部门）</w:t>
            </w:r>
          </w:p>
        </w:tc>
        <w:tc>
          <w:tcPr>
            <w:tcW w:w="798" w:type="pct"/>
            <w:gridSpan w:val="3"/>
            <w:tcBorders>
              <w:top w:val="single" w:color="auto" w:sz="4" w:space="0"/>
              <w:left w:val="nil"/>
              <w:bottom w:val="single" w:color="auto" w:sz="4" w:space="0"/>
              <w:right w:val="single" w:color="auto" w:sz="4" w:space="0"/>
            </w:tcBorders>
            <w:shd w:val="clear" w:color="auto" w:fill="auto"/>
            <w:vAlign w:val="center"/>
          </w:tcPr>
          <w:p w14:paraId="755B6177">
            <w:pPr>
              <w:widowControl/>
              <w:ind w:right="270"/>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1696" w:type="pct"/>
            <w:gridSpan w:val="6"/>
            <w:tcBorders>
              <w:top w:val="single" w:color="auto" w:sz="4" w:space="0"/>
              <w:left w:val="nil"/>
              <w:bottom w:val="single" w:color="auto" w:sz="4" w:space="0"/>
              <w:right w:val="single" w:color="auto" w:sz="4" w:space="0"/>
            </w:tcBorders>
            <w:shd w:val="clear" w:color="auto" w:fill="auto"/>
            <w:vAlign w:val="center"/>
          </w:tcPr>
          <w:p w14:paraId="1E41A80A">
            <w:pPr>
              <w:widowControl/>
              <w:rPr>
                <w:rFonts w:ascii="宋体" w:hAnsi="宋体" w:cs="宋体"/>
                <w:color w:val="000000"/>
                <w:kern w:val="0"/>
                <w:sz w:val="20"/>
                <w:szCs w:val="20"/>
              </w:rPr>
            </w:pPr>
            <w:r>
              <w:rPr>
                <w:rFonts w:hint="eastAsia" w:ascii="宋体" w:hAnsi="宋体" w:cs="宋体"/>
                <w:color w:val="000000"/>
                <w:kern w:val="0"/>
                <w:sz w:val="20"/>
                <w:szCs w:val="20"/>
              </w:rPr>
              <w:t>锡林郭勒盟农牧局</w:t>
            </w:r>
          </w:p>
        </w:tc>
      </w:tr>
      <w:tr w14:paraId="6B1BDB73">
        <w:tblPrEx>
          <w:tblCellMar>
            <w:top w:w="0" w:type="dxa"/>
            <w:left w:w="108" w:type="dxa"/>
            <w:bottom w:w="0" w:type="dxa"/>
            <w:right w:w="108" w:type="dxa"/>
          </w:tblCellMar>
        </w:tblPrEx>
        <w:trPr>
          <w:trHeight w:val="379" w:hRule="atLeast"/>
        </w:trPr>
        <w:tc>
          <w:tcPr>
            <w:tcW w:w="70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60496F">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172C63">
            <w:pPr>
              <w:widowControl/>
              <w:jc w:val="center"/>
              <w:rPr>
                <w:rFonts w:ascii="宋体" w:hAnsi="宋体" w:cs="宋体"/>
                <w:color w:val="000000"/>
                <w:kern w:val="0"/>
                <w:sz w:val="20"/>
                <w:szCs w:val="20"/>
              </w:rPr>
            </w:pP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B48FE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1E6DDB">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7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CFB0BF">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1439E6">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8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2AF42F">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4A9FC335">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4B593AFB">
        <w:tblPrEx>
          <w:tblCellMar>
            <w:top w:w="0" w:type="dxa"/>
            <w:left w:w="108" w:type="dxa"/>
            <w:bottom w:w="0" w:type="dxa"/>
            <w:right w:w="108" w:type="dxa"/>
          </w:tblCellMar>
        </w:tblPrEx>
        <w:trPr>
          <w:trHeight w:val="379" w:hRule="atLeast"/>
        </w:trPr>
        <w:tc>
          <w:tcPr>
            <w:tcW w:w="705" w:type="pct"/>
            <w:gridSpan w:val="2"/>
            <w:vMerge w:val="continue"/>
            <w:tcBorders>
              <w:top w:val="single" w:color="auto" w:sz="4" w:space="0"/>
              <w:left w:val="single" w:color="auto" w:sz="4" w:space="0"/>
              <w:bottom w:val="single" w:color="auto" w:sz="4" w:space="0"/>
              <w:right w:val="single" w:color="auto" w:sz="4" w:space="0"/>
            </w:tcBorders>
            <w:vAlign w:val="center"/>
          </w:tcPr>
          <w:p w14:paraId="35B8EA84">
            <w:pPr>
              <w:widowControl/>
              <w:jc w:val="center"/>
              <w:rPr>
                <w:rFonts w:ascii="宋体" w:hAnsi="宋体" w:cs="宋体"/>
                <w:color w:val="000000"/>
                <w:kern w:val="0"/>
                <w:sz w:val="20"/>
                <w:szCs w:val="20"/>
              </w:rPr>
            </w:pPr>
          </w:p>
        </w:tc>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CB0E8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3674AE">
            <w:pPr>
              <w:widowControl/>
              <w:jc w:val="right"/>
              <w:rPr>
                <w:rFonts w:ascii="宋体" w:hAnsi="宋体" w:cs="宋体"/>
                <w:color w:val="000000"/>
                <w:kern w:val="0"/>
                <w:sz w:val="20"/>
                <w:szCs w:val="20"/>
              </w:rPr>
            </w:pPr>
            <w:r>
              <w:rPr>
                <w:rFonts w:hint="eastAsia" w:ascii="宋体" w:hAnsi="宋体" w:cs="宋体"/>
                <w:color w:val="000000"/>
                <w:kern w:val="0"/>
                <w:sz w:val="20"/>
                <w:szCs w:val="20"/>
              </w:rPr>
              <w:t>200.00</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0CE5A8">
            <w:pPr>
              <w:widowControl/>
              <w:jc w:val="right"/>
              <w:rPr>
                <w:rFonts w:ascii="宋体" w:hAnsi="宋体" w:cs="宋体"/>
                <w:color w:val="000000"/>
                <w:kern w:val="0"/>
                <w:sz w:val="20"/>
                <w:szCs w:val="20"/>
              </w:rPr>
            </w:pPr>
            <w:r>
              <w:rPr>
                <w:rFonts w:hint="eastAsia" w:ascii="宋体" w:hAnsi="宋体" w:cs="宋体"/>
                <w:color w:val="000000"/>
                <w:kern w:val="0"/>
                <w:sz w:val="20"/>
                <w:szCs w:val="20"/>
              </w:rPr>
              <w:t>200.00</w:t>
            </w:r>
          </w:p>
        </w:tc>
        <w:tc>
          <w:tcPr>
            <w:tcW w:w="7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E60B77">
            <w:pPr>
              <w:widowControl/>
              <w:jc w:val="right"/>
              <w:rPr>
                <w:rFonts w:ascii="宋体" w:hAnsi="宋体" w:cs="宋体"/>
                <w:color w:val="000000"/>
                <w:kern w:val="0"/>
                <w:sz w:val="20"/>
                <w:szCs w:val="20"/>
              </w:rPr>
            </w:pPr>
            <w:r>
              <w:rPr>
                <w:rFonts w:hint="eastAsia" w:ascii="宋体" w:hAnsi="宋体" w:cs="宋体"/>
                <w:color w:val="000000"/>
                <w:kern w:val="0"/>
                <w:sz w:val="20"/>
                <w:szCs w:val="20"/>
              </w:rPr>
              <w:t>195.31</w:t>
            </w: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F77635">
            <w:pPr>
              <w:widowControl/>
              <w:jc w:val="right"/>
              <w:rPr>
                <w:rFonts w:ascii="宋体" w:hAnsi="宋体" w:cs="宋体"/>
                <w:color w:val="000000"/>
                <w:kern w:val="0"/>
                <w:sz w:val="20"/>
                <w:szCs w:val="20"/>
              </w:rPr>
            </w:pPr>
            <w:r>
              <w:rPr>
                <w:rFonts w:hint="eastAsia" w:ascii="宋体" w:hAnsi="宋体" w:cs="宋体"/>
                <w:color w:val="000000"/>
                <w:kern w:val="0"/>
                <w:sz w:val="20"/>
                <w:szCs w:val="20"/>
              </w:rPr>
              <w:t>10</w:t>
            </w:r>
          </w:p>
        </w:tc>
        <w:tc>
          <w:tcPr>
            <w:tcW w:w="8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AA5DF7">
            <w:pPr>
              <w:widowControl/>
              <w:jc w:val="right"/>
              <w:rPr>
                <w:rFonts w:ascii="宋体" w:hAnsi="宋体" w:cs="宋体"/>
                <w:color w:val="000000"/>
                <w:kern w:val="0"/>
                <w:sz w:val="20"/>
                <w:szCs w:val="20"/>
              </w:rPr>
            </w:pPr>
            <w:r>
              <w:rPr>
                <w:rFonts w:hint="eastAsia" w:ascii="宋体" w:hAnsi="宋体" w:cs="宋体"/>
                <w:color w:val="000000"/>
                <w:kern w:val="0"/>
                <w:sz w:val="20"/>
                <w:szCs w:val="20"/>
              </w:rPr>
              <w:t>97.66</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A2836B6">
            <w:pPr>
              <w:widowControl/>
              <w:jc w:val="right"/>
              <w:rPr>
                <w:rFonts w:ascii="宋体" w:hAnsi="宋体" w:cs="宋体"/>
                <w:color w:val="000000"/>
                <w:kern w:val="0"/>
                <w:sz w:val="20"/>
                <w:szCs w:val="20"/>
              </w:rPr>
            </w:pPr>
            <w:r>
              <w:rPr>
                <w:rFonts w:hint="eastAsia" w:ascii="宋体" w:hAnsi="宋体" w:cs="宋体"/>
                <w:color w:val="000000"/>
                <w:kern w:val="0"/>
                <w:sz w:val="20"/>
                <w:szCs w:val="20"/>
              </w:rPr>
              <w:t>9.77</w:t>
            </w:r>
          </w:p>
        </w:tc>
      </w:tr>
      <w:tr w14:paraId="4E33F0A0">
        <w:tblPrEx>
          <w:tblCellMar>
            <w:top w:w="0" w:type="dxa"/>
            <w:left w:w="108" w:type="dxa"/>
            <w:bottom w:w="0" w:type="dxa"/>
            <w:right w:w="108" w:type="dxa"/>
          </w:tblCellMar>
        </w:tblPrEx>
        <w:trPr>
          <w:trHeight w:val="379" w:hRule="atLeast"/>
        </w:trPr>
        <w:tc>
          <w:tcPr>
            <w:tcW w:w="705" w:type="pct"/>
            <w:gridSpan w:val="2"/>
            <w:vMerge w:val="continue"/>
            <w:tcBorders>
              <w:top w:val="single" w:color="auto" w:sz="4" w:space="0"/>
              <w:left w:val="single" w:color="auto" w:sz="4" w:space="0"/>
              <w:bottom w:val="single" w:color="auto" w:sz="4" w:space="0"/>
              <w:right w:val="single" w:color="auto" w:sz="4" w:space="0"/>
            </w:tcBorders>
            <w:vAlign w:val="center"/>
          </w:tcPr>
          <w:p w14:paraId="565C2703">
            <w:pPr>
              <w:widowControl/>
              <w:jc w:val="center"/>
              <w:rPr>
                <w:rFonts w:ascii="宋体" w:hAnsi="宋体" w:cs="宋体"/>
                <w:color w:val="000000"/>
                <w:kern w:val="0"/>
                <w:sz w:val="20"/>
                <w:szCs w:val="20"/>
              </w:rPr>
            </w:pPr>
          </w:p>
        </w:tc>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DF5BAA">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其中：财政拨款</w:t>
            </w: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02D9E9">
            <w:pPr>
              <w:widowControl/>
              <w:jc w:val="right"/>
              <w:rPr>
                <w:rFonts w:ascii="宋体" w:hAnsi="宋体" w:cs="宋体"/>
                <w:color w:val="000000"/>
                <w:kern w:val="0"/>
                <w:sz w:val="20"/>
                <w:szCs w:val="20"/>
              </w:rPr>
            </w:pPr>
            <w:r>
              <w:rPr>
                <w:rFonts w:hint="eastAsia" w:ascii="宋体" w:hAnsi="宋体" w:cs="宋体"/>
                <w:color w:val="000000"/>
                <w:kern w:val="0"/>
                <w:sz w:val="20"/>
                <w:szCs w:val="20"/>
              </w:rPr>
              <w:t>200.00</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F9826E">
            <w:pPr>
              <w:widowControl/>
              <w:jc w:val="right"/>
              <w:rPr>
                <w:rFonts w:ascii="宋体" w:hAnsi="宋体" w:cs="宋体"/>
                <w:color w:val="000000"/>
                <w:kern w:val="0"/>
                <w:sz w:val="20"/>
                <w:szCs w:val="20"/>
              </w:rPr>
            </w:pPr>
            <w:r>
              <w:rPr>
                <w:rFonts w:hint="eastAsia" w:ascii="宋体" w:hAnsi="宋体" w:cs="宋体"/>
                <w:color w:val="000000"/>
                <w:kern w:val="0"/>
                <w:sz w:val="20"/>
                <w:szCs w:val="20"/>
              </w:rPr>
              <w:t>200.00</w:t>
            </w:r>
          </w:p>
        </w:tc>
        <w:tc>
          <w:tcPr>
            <w:tcW w:w="7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0F5BB4">
            <w:pPr>
              <w:widowControl/>
              <w:jc w:val="right"/>
              <w:rPr>
                <w:rFonts w:ascii="宋体" w:hAnsi="宋体" w:cs="宋体"/>
                <w:color w:val="000000"/>
                <w:kern w:val="0"/>
                <w:sz w:val="20"/>
                <w:szCs w:val="20"/>
              </w:rPr>
            </w:pPr>
            <w:r>
              <w:rPr>
                <w:rFonts w:hint="eastAsia" w:ascii="宋体" w:hAnsi="宋体" w:cs="宋体"/>
                <w:color w:val="000000"/>
                <w:kern w:val="0"/>
                <w:sz w:val="20"/>
                <w:szCs w:val="20"/>
              </w:rPr>
              <w:t>195.31</w:t>
            </w: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6E47B2">
            <w:pPr>
              <w:widowControl/>
              <w:jc w:val="right"/>
              <w:rPr>
                <w:rFonts w:ascii="Arial" w:hAnsi="Arial" w:cs="Arial"/>
                <w:color w:val="222222"/>
                <w:kern w:val="0"/>
                <w:sz w:val="20"/>
                <w:szCs w:val="20"/>
              </w:rPr>
            </w:pPr>
            <w:r>
              <w:rPr>
                <w:rFonts w:ascii="Arial" w:hAnsi="Arial" w:cs="Arial"/>
                <w:color w:val="222222"/>
                <w:kern w:val="0"/>
                <w:sz w:val="20"/>
                <w:szCs w:val="20"/>
              </w:rPr>
              <w:t>——</w:t>
            </w:r>
          </w:p>
        </w:tc>
        <w:tc>
          <w:tcPr>
            <w:tcW w:w="8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6FA0C6">
            <w:pPr>
              <w:widowControl/>
              <w:jc w:val="right"/>
              <w:rPr>
                <w:rFonts w:ascii="宋体" w:hAnsi="宋体" w:cs="宋体"/>
                <w:color w:val="000000"/>
                <w:kern w:val="0"/>
                <w:sz w:val="20"/>
                <w:szCs w:val="20"/>
              </w:rPr>
            </w:pPr>
            <w:r>
              <w:rPr>
                <w:rFonts w:hint="eastAsia" w:ascii="宋体" w:hAnsi="宋体" w:cs="宋体"/>
                <w:color w:val="000000"/>
                <w:kern w:val="0"/>
                <w:sz w:val="20"/>
                <w:szCs w:val="20"/>
              </w:rPr>
              <w:t>97.66</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06290">
            <w:pPr>
              <w:widowControl/>
              <w:jc w:val="right"/>
              <w:rPr>
                <w:rFonts w:ascii="Arial" w:hAnsi="Arial" w:cs="Arial"/>
                <w:color w:val="222222"/>
                <w:kern w:val="0"/>
                <w:sz w:val="20"/>
                <w:szCs w:val="20"/>
              </w:rPr>
            </w:pPr>
            <w:r>
              <w:rPr>
                <w:rFonts w:ascii="Arial" w:hAnsi="Arial" w:cs="Arial"/>
                <w:color w:val="222222"/>
                <w:kern w:val="0"/>
                <w:sz w:val="20"/>
                <w:szCs w:val="20"/>
              </w:rPr>
              <w:t>——</w:t>
            </w:r>
          </w:p>
        </w:tc>
      </w:tr>
      <w:tr w14:paraId="7CF8AED2">
        <w:tblPrEx>
          <w:tblCellMar>
            <w:top w:w="0" w:type="dxa"/>
            <w:left w:w="108" w:type="dxa"/>
            <w:bottom w:w="0" w:type="dxa"/>
            <w:right w:w="108" w:type="dxa"/>
          </w:tblCellMar>
        </w:tblPrEx>
        <w:trPr>
          <w:trHeight w:val="379" w:hRule="atLeast"/>
        </w:trPr>
        <w:tc>
          <w:tcPr>
            <w:tcW w:w="705" w:type="pct"/>
            <w:gridSpan w:val="2"/>
            <w:vMerge w:val="continue"/>
            <w:tcBorders>
              <w:top w:val="single" w:color="auto" w:sz="4" w:space="0"/>
              <w:left w:val="single" w:color="auto" w:sz="4" w:space="0"/>
              <w:bottom w:val="single" w:color="auto" w:sz="4" w:space="0"/>
              <w:right w:val="single" w:color="auto" w:sz="4" w:space="0"/>
            </w:tcBorders>
            <w:vAlign w:val="center"/>
          </w:tcPr>
          <w:p w14:paraId="03AA92BC">
            <w:pPr>
              <w:widowControl/>
              <w:jc w:val="center"/>
              <w:rPr>
                <w:rFonts w:ascii="宋体" w:hAnsi="宋体" w:cs="宋体"/>
                <w:color w:val="000000"/>
                <w:kern w:val="0"/>
                <w:sz w:val="20"/>
                <w:szCs w:val="20"/>
              </w:rPr>
            </w:pPr>
          </w:p>
        </w:tc>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51F9FE">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上年结转资金</w:t>
            </w: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1DCBCA">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366269">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7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36C7B0">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E7E2FD">
            <w:pPr>
              <w:widowControl/>
              <w:jc w:val="right"/>
              <w:rPr>
                <w:rFonts w:ascii="Arial" w:hAnsi="Arial" w:cs="Arial"/>
                <w:color w:val="222222"/>
                <w:kern w:val="0"/>
                <w:sz w:val="20"/>
                <w:szCs w:val="20"/>
              </w:rPr>
            </w:pPr>
            <w:r>
              <w:rPr>
                <w:rFonts w:ascii="Arial" w:hAnsi="Arial" w:cs="Arial"/>
                <w:color w:val="222222"/>
                <w:kern w:val="0"/>
                <w:sz w:val="20"/>
                <w:szCs w:val="20"/>
              </w:rPr>
              <w:t>——</w:t>
            </w:r>
          </w:p>
        </w:tc>
        <w:tc>
          <w:tcPr>
            <w:tcW w:w="8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04C7C7">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5BA8A">
            <w:pPr>
              <w:widowControl/>
              <w:jc w:val="right"/>
              <w:rPr>
                <w:rFonts w:ascii="Arial" w:hAnsi="Arial" w:cs="Arial"/>
                <w:color w:val="222222"/>
                <w:kern w:val="0"/>
                <w:sz w:val="20"/>
                <w:szCs w:val="20"/>
              </w:rPr>
            </w:pPr>
            <w:r>
              <w:rPr>
                <w:rFonts w:ascii="Arial" w:hAnsi="Arial" w:cs="Arial"/>
                <w:color w:val="222222"/>
                <w:kern w:val="0"/>
                <w:sz w:val="20"/>
                <w:szCs w:val="20"/>
              </w:rPr>
              <w:t>——</w:t>
            </w:r>
          </w:p>
        </w:tc>
      </w:tr>
      <w:tr w14:paraId="27F0A658">
        <w:tblPrEx>
          <w:tblCellMar>
            <w:top w:w="0" w:type="dxa"/>
            <w:left w:w="108" w:type="dxa"/>
            <w:bottom w:w="0" w:type="dxa"/>
            <w:right w:w="108" w:type="dxa"/>
          </w:tblCellMar>
        </w:tblPrEx>
        <w:trPr>
          <w:trHeight w:val="379" w:hRule="atLeast"/>
        </w:trPr>
        <w:tc>
          <w:tcPr>
            <w:tcW w:w="705" w:type="pct"/>
            <w:gridSpan w:val="2"/>
            <w:vMerge w:val="continue"/>
            <w:tcBorders>
              <w:top w:val="single" w:color="auto" w:sz="4" w:space="0"/>
              <w:left w:val="single" w:color="auto" w:sz="4" w:space="0"/>
              <w:bottom w:val="single" w:color="auto" w:sz="4" w:space="0"/>
              <w:right w:val="single" w:color="auto" w:sz="4" w:space="0"/>
            </w:tcBorders>
            <w:vAlign w:val="center"/>
          </w:tcPr>
          <w:p w14:paraId="770DFC98">
            <w:pPr>
              <w:widowControl/>
              <w:jc w:val="center"/>
              <w:rPr>
                <w:rFonts w:ascii="宋体" w:hAnsi="宋体" w:cs="宋体"/>
                <w:color w:val="000000"/>
                <w:kern w:val="0"/>
                <w:sz w:val="20"/>
                <w:szCs w:val="20"/>
              </w:rPr>
            </w:pPr>
          </w:p>
        </w:tc>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3D6C13">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其他资金</w:t>
            </w: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70AEBA">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3E2F47">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7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A430AE">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39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738D9E">
            <w:pPr>
              <w:widowControl/>
              <w:jc w:val="right"/>
              <w:rPr>
                <w:rFonts w:ascii="Arial" w:hAnsi="Arial" w:cs="Arial"/>
                <w:color w:val="222222"/>
                <w:kern w:val="0"/>
                <w:sz w:val="20"/>
                <w:szCs w:val="20"/>
              </w:rPr>
            </w:pPr>
            <w:r>
              <w:rPr>
                <w:rFonts w:ascii="Arial" w:hAnsi="Arial" w:cs="Arial"/>
                <w:color w:val="222222"/>
                <w:kern w:val="0"/>
                <w:sz w:val="20"/>
                <w:szCs w:val="20"/>
              </w:rPr>
              <w:t>——</w:t>
            </w:r>
          </w:p>
        </w:tc>
        <w:tc>
          <w:tcPr>
            <w:tcW w:w="81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5CF9FE">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89C3D">
            <w:pPr>
              <w:widowControl/>
              <w:jc w:val="right"/>
              <w:rPr>
                <w:rFonts w:ascii="Arial" w:hAnsi="Arial" w:cs="Arial"/>
                <w:color w:val="222222"/>
                <w:kern w:val="0"/>
                <w:sz w:val="20"/>
                <w:szCs w:val="20"/>
              </w:rPr>
            </w:pPr>
            <w:r>
              <w:rPr>
                <w:rFonts w:ascii="Arial" w:hAnsi="Arial" w:cs="Arial"/>
                <w:color w:val="222222"/>
                <w:kern w:val="0"/>
                <w:sz w:val="20"/>
                <w:szCs w:val="20"/>
              </w:rPr>
              <w:t>——</w:t>
            </w:r>
          </w:p>
        </w:tc>
      </w:tr>
      <w:tr w14:paraId="45E62316">
        <w:tblPrEx>
          <w:tblCellMar>
            <w:top w:w="0" w:type="dxa"/>
            <w:left w:w="108" w:type="dxa"/>
            <w:bottom w:w="0" w:type="dxa"/>
            <w:right w:w="108" w:type="dxa"/>
          </w:tblCellMar>
        </w:tblPrEx>
        <w:trPr>
          <w:trHeight w:val="379" w:hRule="atLeast"/>
        </w:trPr>
        <w:tc>
          <w:tcPr>
            <w:tcW w:w="70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67E351">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198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35F0C5D">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231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40A45AA">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3DADFC62">
        <w:tblPrEx>
          <w:tblCellMar>
            <w:top w:w="0" w:type="dxa"/>
            <w:left w:w="108" w:type="dxa"/>
            <w:bottom w:w="0" w:type="dxa"/>
            <w:right w:w="108" w:type="dxa"/>
          </w:tblCellMar>
        </w:tblPrEx>
        <w:trPr>
          <w:trHeight w:val="1122" w:hRule="atLeast"/>
        </w:trPr>
        <w:tc>
          <w:tcPr>
            <w:tcW w:w="705" w:type="pct"/>
            <w:gridSpan w:val="2"/>
            <w:vMerge w:val="continue"/>
            <w:tcBorders>
              <w:top w:val="single" w:color="auto" w:sz="4" w:space="0"/>
              <w:left w:val="single" w:color="auto" w:sz="4" w:space="0"/>
              <w:bottom w:val="single" w:color="auto" w:sz="4" w:space="0"/>
              <w:right w:val="single" w:color="auto" w:sz="4" w:space="0"/>
            </w:tcBorders>
            <w:vAlign w:val="center"/>
          </w:tcPr>
          <w:p w14:paraId="23F5DEBC">
            <w:pPr>
              <w:widowControl/>
              <w:jc w:val="center"/>
              <w:rPr>
                <w:rFonts w:ascii="宋体" w:hAnsi="宋体" w:cs="宋体"/>
                <w:color w:val="000000"/>
                <w:kern w:val="0"/>
                <w:sz w:val="20"/>
                <w:szCs w:val="20"/>
              </w:rPr>
            </w:pPr>
          </w:p>
        </w:tc>
        <w:tc>
          <w:tcPr>
            <w:tcW w:w="198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F37AED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年内完成鉴定、认证5000头华西牛，基因监测3000头华西牛</w:t>
            </w:r>
          </w:p>
        </w:tc>
        <w:tc>
          <w:tcPr>
            <w:tcW w:w="231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2CBB2BB">
            <w:pPr>
              <w:widowControl/>
              <w:jc w:val="center"/>
              <w:rPr>
                <w:rFonts w:ascii="宋体" w:hAnsi="宋体" w:cs="宋体"/>
                <w:color w:val="000000"/>
                <w:kern w:val="0"/>
                <w:sz w:val="20"/>
                <w:szCs w:val="20"/>
              </w:rPr>
            </w:pPr>
            <w:r>
              <w:rPr>
                <w:rFonts w:hint="eastAsia" w:ascii="宋体" w:hAnsi="宋体" w:cs="宋体"/>
                <w:color w:val="000000"/>
                <w:kern w:val="0"/>
                <w:sz w:val="20"/>
                <w:szCs w:val="20"/>
              </w:rPr>
              <w:t>开展华西牛认定、选育工作，扩大锡林郭勒盟华西牛育种项目场（户）。指导开展华西牛育种场户生产性能测定、系谱档案的建立、数据校正上传、遗传评估等工作。</w:t>
            </w:r>
          </w:p>
        </w:tc>
      </w:tr>
      <w:tr w14:paraId="1E0EE9C7">
        <w:tblPrEx>
          <w:tblCellMar>
            <w:top w:w="0" w:type="dxa"/>
            <w:left w:w="108" w:type="dxa"/>
            <w:bottom w:w="0" w:type="dxa"/>
            <w:right w:w="108" w:type="dxa"/>
          </w:tblCellMar>
        </w:tblPrEx>
        <w:trPr>
          <w:trHeight w:val="379"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20DC565">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367" w:type="pct"/>
            <w:tcBorders>
              <w:top w:val="single" w:color="auto" w:sz="4" w:space="0"/>
              <w:left w:val="nil"/>
              <w:bottom w:val="single" w:color="auto" w:sz="4" w:space="0"/>
              <w:right w:val="single" w:color="auto" w:sz="4" w:space="0"/>
            </w:tcBorders>
            <w:shd w:val="clear" w:color="auto" w:fill="auto"/>
            <w:vAlign w:val="center"/>
          </w:tcPr>
          <w:p w14:paraId="5422D5B4">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354" w:type="pct"/>
            <w:tcBorders>
              <w:top w:val="single" w:color="auto" w:sz="4" w:space="0"/>
              <w:left w:val="nil"/>
              <w:bottom w:val="single" w:color="auto" w:sz="4" w:space="0"/>
              <w:right w:val="single" w:color="auto" w:sz="4" w:space="0"/>
            </w:tcBorders>
            <w:shd w:val="clear" w:color="auto" w:fill="auto"/>
            <w:vAlign w:val="center"/>
          </w:tcPr>
          <w:p w14:paraId="43898AD3">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0243F614">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1381FADB">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指标性质</w:t>
            </w:r>
          </w:p>
        </w:tc>
        <w:tc>
          <w:tcPr>
            <w:tcW w:w="353" w:type="pct"/>
            <w:tcBorders>
              <w:top w:val="single" w:color="auto" w:sz="4" w:space="0"/>
              <w:left w:val="nil"/>
              <w:bottom w:val="single" w:color="auto" w:sz="4" w:space="0"/>
              <w:right w:val="single" w:color="auto" w:sz="4" w:space="0"/>
            </w:tcBorders>
            <w:shd w:val="clear" w:color="auto" w:fill="auto"/>
            <w:vAlign w:val="center"/>
          </w:tcPr>
          <w:p w14:paraId="2EC30339">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指标方向</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4017900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427" w:type="pct"/>
            <w:tcBorders>
              <w:top w:val="single" w:color="auto" w:sz="4" w:space="0"/>
              <w:left w:val="nil"/>
              <w:bottom w:val="single" w:color="auto" w:sz="4" w:space="0"/>
              <w:right w:val="single" w:color="auto" w:sz="4" w:space="0"/>
            </w:tcBorders>
            <w:shd w:val="clear" w:color="auto" w:fill="auto"/>
            <w:vAlign w:val="center"/>
          </w:tcPr>
          <w:p w14:paraId="5D0F2D54">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5791DE5D">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计量单位</w:t>
            </w: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18F17F01">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428" w:type="pct"/>
            <w:tcBorders>
              <w:top w:val="single" w:color="auto" w:sz="4" w:space="0"/>
              <w:left w:val="nil"/>
              <w:bottom w:val="single" w:color="auto" w:sz="4" w:space="0"/>
              <w:right w:val="single" w:color="auto" w:sz="4" w:space="0"/>
            </w:tcBorders>
            <w:shd w:val="clear" w:color="auto" w:fill="auto"/>
            <w:vAlign w:val="center"/>
          </w:tcPr>
          <w:p w14:paraId="21856F9A">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58732B93">
            <w:pPr>
              <w:widowControl/>
              <w:jc w:val="center"/>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38BAF875">
        <w:tblPrEx>
          <w:tblCellMar>
            <w:top w:w="0" w:type="dxa"/>
            <w:left w:w="108" w:type="dxa"/>
            <w:bottom w:w="0" w:type="dxa"/>
            <w:right w:w="108" w:type="dxa"/>
          </w:tblCellMar>
        </w:tblPrEx>
        <w:trPr>
          <w:trHeight w:val="840" w:hRule="atLeast"/>
        </w:trPr>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B589AC">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42E21B">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3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9D4697">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19D675C9">
            <w:pPr>
              <w:widowControl/>
              <w:jc w:val="center"/>
              <w:rPr>
                <w:rFonts w:ascii="宋体" w:hAnsi="宋体" w:cs="宋体"/>
                <w:color w:val="000000"/>
                <w:kern w:val="0"/>
                <w:sz w:val="20"/>
                <w:szCs w:val="20"/>
              </w:rPr>
            </w:pPr>
            <w:r>
              <w:rPr>
                <w:rFonts w:hint="eastAsia" w:ascii="宋体" w:hAnsi="宋体" w:cs="宋体"/>
                <w:color w:val="000000"/>
                <w:kern w:val="0"/>
                <w:sz w:val="20"/>
                <w:szCs w:val="20"/>
              </w:rPr>
              <w:t>鉴定和认证华西牛</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7E779814">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tcBorders>
              <w:top w:val="single" w:color="auto" w:sz="4" w:space="0"/>
              <w:left w:val="nil"/>
              <w:bottom w:val="single" w:color="auto" w:sz="4" w:space="0"/>
              <w:right w:val="single" w:color="auto" w:sz="4" w:space="0"/>
            </w:tcBorders>
            <w:shd w:val="clear" w:color="auto" w:fill="auto"/>
            <w:vAlign w:val="center"/>
          </w:tcPr>
          <w:p w14:paraId="01D768D5">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0CC35D47">
            <w:pPr>
              <w:widowControl/>
              <w:jc w:val="center"/>
              <w:rPr>
                <w:rFonts w:ascii="宋体" w:hAnsi="宋体" w:cs="宋体"/>
                <w:color w:val="000000"/>
                <w:kern w:val="0"/>
                <w:sz w:val="20"/>
                <w:szCs w:val="20"/>
              </w:rPr>
            </w:pPr>
            <w:r>
              <w:rPr>
                <w:rFonts w:hint="eastAsia" w:ascii="宋体" w:hAnsi="宋体" w:cs="宋体"/>
                <w:color w:val="000000"/>
                <w:kern w:val="0"/>
                <w:sz w:val="20"/>
                <w:szCs w:val="20"/>
              </w:rPr>
              <w:t>5000</w:t>
            </w:r>
          </w:p>
        </w:tc>
        <w:tc>
          <w:tcPr>
            <w:tcW w:w="427" w:type="pct"/>
            <w:tcBorders>
              <w:top w:val="single" w:color="auto" w:sz="4" w:space="0"/>
              <w:left w:val="nil"/>
              <w:bottom w:val="single" w:color="auto" w:sz="4" w:space="0"/>
              <w:right w:val="single" w:color="auto" w:sz="4" w:space="0"/>
            </w:tcBorders>
            <w:shd w:val="clear" w:color="auto" w:fill="auto"/>
            <w:vAlign w:val="center"/>
          </w:tcPr>
          <w:p w14:paraId="0A23FC3F">
            <w:pPr>
              <w:widowControl/>
              <w:jc w:val="center"/>
              <w:rPr>
                <w:rFonts w:ascii="宋体" w:hAnsi="宋体" w:cs="宋体"/>
                <w:color w:val="000000"/>
                <w:kern w:val="0"/>
                <w:sz w:val="20"/>
                <w:szCs w:val="20"/>
              </w:rPr>
            </w:pPr>
            <w:r>
              <w:rPr>
                <w:rFonts w:hint="eastAsia" w:ascii="宋体" w:hAnsi="宋体" w:cs="宋体"/>
                <w:color w:val="000000"/>
                <w:kern w:val="0"/>
                <w:sz w:val="20"/>
                <w:szCs w:val="20"/>
              </w:rPr>
              <w:t>5000</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25469970">
            <w:pPr>
              <w:widowControl/>
              <w:jc w:val="center"/>
              <w:rPr>
                <w:rFonts w:ascii="宋体" w:hAnsi="宋体" w:cs="宋体"/>
                <w:color w:val="000000"/>
                <w:kern w:val="0"/>
                <w:sz w:val="20"/>
                <w:szCs w:val="20"/>
              </w:rPr>
            </w:pPr>
            <w:r>
              <w:rPr>
                <w:rFonts w:hint="eastAsia" w:ascii="宋体" w:hAnsi="宋体" w:cs="宋体"/>
                <w:color w:val="000000"/>
                <w:kern w:val="0"/>
                <w:sz w:val="20"/>
                <w:szCs w:val="20"/>
              </w:rPr>
              <w:t>头</w:t>
            </w: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315FC2A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tcBorders>
              <w:top w:val="single" w:color="auto" w:sz="4" w:space="0"/>
              <w:left w:val="nil"/>
              <w:bottom w:val="single" w:color="auto" w:sz="4" w:space="0"/>
              <w:right w:val="single" w:color="auto" w:sz="4" w:space="0"/>
            </w:tcBorders>
            <w:shd w:val="clear" w:color="auto" w:fill="auto"/>
            <w:vAlign w:val="center"/>
          </w:tcPr>
          <w:p w14:paraId="7DD4F57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586092D6">
            <w:pPr>
              <w:widowControl/>
              <w:jc w:val="center"/>
              <w:rPr>
                <w:rFonts w:ascii="宋体" w:hAnsi="宋体" w:cs="宋体"/>
                <w:color w:val="000000"/>
                <w:kern w:val="0"/>
                <w:sz w:val="20"/>
                <w:szCs w:val="20"/>
              </w:rPr>
            </w:pPr>
          </w:p>
        </w:tc>
      </w:tr>
      <w:tr w14:paraId="7FC4336A">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3747D5BB">
            <w:pPr>
              <w:widowControl/>
              <w:jc w:val="center"/>
              <w:rPr>
                <w:rFonts w:ascii="宋体" w:hAnsi="宋体" w:cs="宋体"/>
                <w:color w:val="000000"/>
                <w:kern w:val="0"/>
                <w:sz w:val="20"/>
                <w:szCs w:val="20"/>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14:paraId="636A587E">
            <w:pPr>
              <w:widowControl/>
              <w:jc w:val="center"/>
              <w:rPr>
                <w:rFonts w:ascii="宋体" w:hAnsi="宋体" w:cs="宋体"/>
                <w:color w:val="000000"/>
                <w:kern w:val="0"/>
                <w:sz w:val="20"/>
                <w:szCs w:val="20"/>
              </w:rPr>
            </w:pPr>
          </w:p>
        </w:tc>
        <w:tc>
          <w:tcPr>
            <w:tcW w:w="354" w:type="pct"/>
            <w:vMerge w:val="continue"/>
            <w:tcBorders>
              <w:top w:val="single" w:color="auto" w:sz="4" w:space="0"/>
              <w:left w:val="single" w:color="auto" w:sz="4" w:space="0"/>
              <w:bottom w:val="single" w:color="auto" w:sz="4" w:space="0"/>
              <w:right w:val="single" w:color="auto" w:sz="4" w:space="0"/>
            </w:tcBorders>
            <w:vAlign w:val="center"/>
          </w:tcPr>
          <w:p w14:paraId="4337311C">
            <w:pPr>
              <w:widowControl/>
              <w:jc w:val="center"/>
              <w:rPr>
                <w:rFonts w:ascii="宋体" w:hAnsi="宋体" w:cs="宋体"/>
                <w:color w:val="000000"/>
                <w:kern w:val="0"/>
                <w:sz w:val="20"/>
                <w:szCs w:val="20"/>
              </w:rPr>
            </w:pP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1F64CE60">
            <w:pPr>
              <w:widowControl/>
              <w:jc w:val="center"/>
              <w:rPr>
                <w:rFonts w:ascii="宋体" w:hAnsi="宋体" w:cs="宋体"/>
                <w:color w:val="000000"/>
                <w:kern w:val="0"/>
                <w:sz w:val="20"/>
                <w:szCs w:val="20"/>
              </w:rPr>
            </w:pPr>
            <w:r>
              <w:rPr>
                <w:rFonts w:hint="eastAsia" w:ascii="宋体" w:hAnsi="宋体" w:cs="宋体"/>
                <w:color w:val="000000"/>
                <w:kern w:val="0"/>
                <w:sz w:val="20"/>
                <w:szCs w:val="20"/>
              </w:rPr>
              <w:t>华西牛基因监测</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4CF3171C">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tcBorders>
              <w:top w:val="single" w:color="auto" w:sz="4" w:space="0"/>
              <w:left w:val="nil"/>
              <w:bottom w:val="single" w:color="auto" w:sz="4" w:space="0"/>
              <w:right w:val="single" w:color="auto" w:sz="4" w:space="0"/>
            </w:tcBorders>
            <w:shd w:val="clear" w:color="auto" w:fill="auto"/>
            <w:vAlign w:val="center"/>
          </w:tcPr>
          <w:p w14:paraId="6404A054">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354828E1">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427" w:type="pct"/>
            <w:tcBorders>
              <w:top w:val="single" w:color="auto" w:sz="4" w:space="0"/>
              <w:left w:val="nil"/>
              <w:bottom w:val="single" w:color="auto" w:sz="4" w:space="0"/>
              <w:right w:val="single" w:color="auto" w:sz="4" w:space="0"/>
            </w:tcBorders>
            <w:shd w:val="clear" w:color="auto" w:fill="auto"/>
            <w:vAlign w:val="center"/>
          </w:tcPr>
          <w:p w14:paraId="44A4B5E8">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644E9DEA">
            <w:pPr>
              <w:widowControl/>
              <w:jc w:val="center"/>
              <w:rPr>
                <w:rFonts w:ascii="宋体" w:hAnsi="宋体" w:cs="宋体"/>
                <w:color w:val="000000"/>
                <w:kern w:val="0"/>
                <w:sz w:val="20"/>
                <w:szCs w:val="20"/>
              </w:rPr>
            </w:pPr>
            <w:r>
              <w:rPr>
                <w:rFonts w:hint="eastAsia" w:ascii="宋体" w:hAnsi="宋体" w:cs="宋体"/>
                <w:color w:val="000000"/>
                <w:kern w:val="0"/>
                <w:sz w:val="20"/>
                <w:szCs w:val="20"/>
              </w:rPr>
              <w:t>头</w:t>
            </w: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2A74204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tcBorders>
              <w:top w:val="single" w:color="auto" w:sz="4" w:space="0"/>
              <w:left w:val="nil"/>
              <w:bottom w:val="single" w:color="auto" w:sz="4" w:space="0"/>
              <w:right w:val="single" w:color="auto" w:sz="4" w:space="0"/>
            </w:tcBorders>
            <w:shd w:val="clear" w:color="auto" w:fill="auto"/>
            <w:vAlign w:val="center"/>
          </w:tcPr>
          <w:p w14:paraId="758A428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34009DE9">
            <w:pPr>
              <w:widowControl/>
              <w:jc w:val="center"/>
              <w:rPr>
                <w:rFonts w:ascii="宋体" w:hAnsi="宋体" w:cs="宋体"/>
                <w:color w:val="000000"/>
                <w:kern w:val="0"/>
                <w:sz w:val="20"/>
                <w:szCs w:val="20"/>
              </w:rPr>
            </w:pPr>
          </w:p>
        </w:tc>
      </w:tr>
      <w:tr w14:paraId="2048DF72">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47D6A4B6">
            <w:pPr>
              <w:widowControl/>
              <w:jc w:val="center"/>
              <w:rPr>
                <w:rFonts w:ascii="宋体" w:hAnsi="宋体" w:cs="宋体"/>
                <w:color w:val="000000"/>
                <w:kern w:val="0"/>
                <w:sz w:val="20"/>
                <w:szCs w:val="20"/>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14:paraId="36FBB909">
            <w:pPr>
              <w:widowControl/>
              <w:jc w:val="center"/>
              <w:rPr>
                <w:rFonts w:ascii="宋体" w:hAnsi="宋体" w:cs="宋体"/>
                <w:color w:val="000000"/>
                <w:kern w:val="0"/>
                <w:sz w:val="20"/>
                <w:szCs w:val="20"/>
              </w:rPr>
            </w:pPr>
          </w:p>
        </w:tc>
        <w:tc>
          <w:tcPr>
            <w:tcW w:w="354" w:type="pct"/>
            <w:tcBorders>
              <w:top w:val="single" w:color="auto" w:sz="4" w:space="0"/>
              <w:left w:val="nil"/>
              <w:bottom w:val="single" w:color="auto" w:sz="4" w:space="0"/>
              <w:right w:val="single" w:color="auto" w:sz="4" w:space="0"/>
            </w:tcBorders>
            <w:shd w:val="clear" w:color="auto" w:fill="auto"/>
            <w:vAlign w:val="center"/>
          </w:tcPr>
          <w:p w14:paraId="1311C93C">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4DEB64A3">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资金到位率</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085FDA5D">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tcBorders>
              <w:top w:val="single" w:color="auto" w:sz="4" w:space="0"/>
              <w:left w:val="nil"/>
              <w:bottom w:val="single" w:color="auto" w:sz="4" w:space="0"/>
              <w:right w:val="single" w:color="auto" w:sz="4" w:space="0"/>
            </w:tcBorders>
            <w:shd w:val="clear" w:color="auto" w:fill="auto"/>
            <w:vAlign w:val="center"/>
          </w:tcPr>
          <w:p w14:paraId="19D4E153">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2F0DE86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427" w:type="pct"/>
            <w:tcBorders>
              <w:top w:val="single" w:color="auto" w:sz="4" w:space="0"/>
              <w:left w:val="nil"/>
              <w:bottom w:val="single" w:color="auto" w:sz="4" w:space="0"/>
              <w:right w:val="single" w:color="auto" w:sz="4" w:space="0"/>
            </w:tcBorders>
            <w:shd w:val="clear" w:color="auto" w:fill="auto"/>
            <w:vAlign w:val="center"/>
          </w:tcPr>
          <w:p w14:paraId="2A3CDBC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3A88A31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6946CE6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tcBorders>
              <w:top w:val="single" w:color="auto" w:sz="4" w:space="0"/>
              <w:left w:val="nil"/>
              <w:bottom w:val="single" w:color="auto" w:sz="4" w:space="0"/>
              <w:right w:val="single" w:color="auto" w:sz="4" w:space="0"/>
            </w:tcBorders>
            <w:shd w:val="clear" w:color="auto" w:fill="auto"/>
            <w:vAlign w:val="center"/>
          </w:tcPr>
          <w:p w14:paraId="715B6E8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17B00C12">
            <w:pPr>
              <w:widowControl/>
              <w:jc w:val="center"/>
              <w:rPr>
                <w:rFonts w:ascii="宋体" w:hAnsi="宋体" w:cs="宋体"/>
                <w:color w:val="000000"/>
                <w:kern w:val="0"/>
                <w:sz w:val="20"/>
                <w:szCs w:val="20"/>
              </w:rPr>
            </w:pPr>
          </w:p>
        </w:tc>
      </w:tr>
      <w:tr w14:paraId="3DE4BE49">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75FC0BBE">
            <w:pPr>
              <w:widowControl/>
              <w:jc w:val="center"/>
              <w:rPr>
                <w:rFonts w:ascii="宋体" w:hAnsi="宋体" w:cs="宋体"/>
                <w:color w:val="000000"/>
                <w:kern w:val="0"/>
                <w:sz w:val="20"/>
                <w:szCs w:val="20"/>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14:paraId="330681CB">
            <w:pPr>
              <w:widowControl/>
              <w:jc w:val="center"/>
              <w:rPr>
                <w:rFonts w:ascii="宋体" w:hAnsi="宋体" w:cs="宋体"/>
                <w:color w:val="000000"/>
                <w:kern w:val="0"/>
                <w:sz w:val="20"/>
                <w:szCs w:val="20"/>
              </w:rPr>
            </w:pPr>
          </w:p>
        </w:tc>
        <w:tc>
          <w:tcPr>
            <w:tcW w:w="354" w:type="pct"/>
            <w:tcBorders>
              <w:top w:val="single" w:color="auto" w:sz="4" w:space="0"/>
              <w:left w:val="nil"/>
              <w:bottom w:val="single" w:color="auto" w:sz="4" w:space="0"/>
              <w:right w:val="single" w:color="auto" w:sz="4" w:space="0"/>
            </w:tcBorders>
            <w:shd w:val="clear" w:color="auto" w:fill="auto"/>
            <w:vAlign w:val="center"/>
          </w:tcPr>
          <w:p w14:paraId="001185A8">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49C440DA">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完成时效</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5B0A5FA7">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tcBorders>
              <w:top w:val="single" w:color="auto" w:sz="4" w:space="0"/>
              <w:left w:val="nil"/>
              <w:bottom w:val="single" w:color="auto" w:sz="4" w:space="0"/>
              <w:right w:val="single" w:color="auto" w:sz="4" w:space="0"/>
            </w:tcBorders>
            <w:shd w:val="clear" w:color="auto" w:fill="auto"/>
            <w:vAlign w:val="center"/>
          </w:tcPr>
          <w:p w14:paraId="396FBA6C">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482DCA6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427" w:type="pct"/>
            <w:tcBorders>
              <w:top w:val="single" w:color="auto" w:sz="4" w:space="0"/>
              <w:left w:val="nil"/>
              <w:bottom w:val="single" w:color="auto" w:sz="4" w:space="0"/>
              <w:right w:val="single" w:color="auto" w:sz="4" w:space="0"/>
            </w:tcBorders>
            <w:shd w:val="clear" w:color="auto" w:fill="auto"/>
            <w:vAlign w:val="center"/>
          </w:tcPr>
          <w:p w14:paraId="3AD92F9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61D9349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0143531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tcBorders>
              <w:top w:val="single" w:color="auto" w:sz="4" w:space="0"/>
              <w:left w:val="nil"/>
              <w:bottom w:val="single" w:color="auto" w:sz="4" w:space="0"/>
              <w:right w:val="single" w:color="auto" w:sz="4" w:space="0"/>
            </w:tcBorders>
            <w:shd w:val="clear" w:color="auto" w:fill="auto"/>
            <w:vAlign w:val="center"/>
          </w:tcPr>
          <w:p w14:paraId="320F4D1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7A9FA2BE">
            <w:pPr>
              <w:widowControl/>
              <w:jc w:val="center"/>
              <w:rPr>
                <w:rFonts w:ascii="宋体" w:hAnsi="宋体" w:cs="宋体"/>
                <w:color w:val="000000"/>
                <w:kern w:val="0"/>
                <w:sz w:val="20"/>
                <w:szCs w:val="20"/>
              </w:rPr>
            </w:pPr>
          </w:p>
        </w:tc>
      </w:tr>
      <w:tr w14:paraId="12654B72">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1B355CB6">
            <w:pPr>
              <w:widowControl/>
              <w:jc w:val="center"/>
              <w:rPr>
                <w:rFonts w:ascii="宋体" w:hAnsi="宋体" w:cs="宋体"/>
                <w:color w:val="000000"/>
                <w:kern w:val="0"/>
                <w:sz w:val="20"/>
                <w:szCs w:val="20"/>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14:paraId="27B030B3">
            <w:pPr>
              <w:widowControl/>
              <w:jc w:val="center"/>
              <w:rPr>
                <w:rFonts w:ascii="宋体" w:hAnsi="宋体" w:cs="宋体"/>
                <w:color w:val="000000"/>
                <w:kern w:val="0"/>
                <w:sz w:val="20"/>
                <w:szCs w:val="20"/>
              </w:rPr>
            </w:pPr>
          </w:p>
        </w:tc>
        <w:tc>
          <w:tcPr>
            <w:tcW w:w="354" w:type="pct"/>
            <w:tcBorders>
              <w:top w:val="single" w:color="auto" w:sz="4" w:space="0"/>
              <w:left w:val="nil"/>
              <w:bottom w:val="single" w:color="auto" w:sz="4" w:space="0"/>
              <w:right w:val="single" w:color="auto" w:sz="4" w:space="0"/>
            </w:tcBorders>
            <w:shd w:val="clear" w:color="auto" w:fill="auto"/>
            <w:vAlign w:val="center"/>
          </w:tcPr>
          <w:p w14:paraId="5D2FB73D">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2F1A52BF">
            <w:pPr>
              <w:widowControl/>
              <w:jc w:val="center"/>
              <w:rPr>
                <w:rFonts w:ascii="宋体" w:hAnsi="宋体" w:cs="宋体"/>
                <w:color w:val="000000"/>
                <w:kern w:val="0"/>
                <w:sz w:val="20"/>
                <w:szCs w:val="20"/>
              </w:rPr>
            </w:pPr>
            <w:r>
              <w:rPr>
                <w:rFonts w:hint="eastAsia" w:ascii="宋体" w:hAnsi="宋体" w:cs="宋体"/>
                <w:color w:val="000000"/>
                <w:kern w:val="0"/>
                <w:sz w:val="20"/>
                <w:szCs w:val="20"/>
              </w:rPr>
              <w:t>华西牛鉴定和认证及基因检测</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0F46549D">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tcBorders>
              <w:top w:val="single" w:color="auto" w:sz="4" w:space="0"/>
              <w:left w:val="nil"/>
              <w:bottom w:val="single" w:color="auto" w:sz="4" w:space="0"/>
              <w:right w:val="single" w:color="auto" w:sz="4" w:space="0"/>
            </w:tcBorders>
            <w:shd w:val="clear" w:color="auto" w:fill="auto"/>
            <w:vAlign w:val="center"/>
          </w:tcPr>
          <w:p w14:paraId="3167C6A5">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135BBAC5">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427" w:type="pct"/>
            <w:tcBorders>
              <w:top w:val="single" w:color="auto" w:sz="4" w:space="0"/>
              <w:left w:val="nil"/>
              <w:bottom w:val="single" w:color="auto" w:sz="4" w:space="0"/>
              <w:right w:val="single" w:color="auto" w:sz="4" w:space="0"/>
            </w:tcBorders>
            <w:shd w:val="clear" w:color="auto" w:fill="auto"/>
            <w:vAlign w:val="center"/>
          </w:tcPr>
          <w:p w14:paraId="55A81B0B">
            <w:pPr>
              <w:widowControl/>
              <w:jc w:val="center"/>
              <w:rPr>
                <w:rFonts w:ascii="宋体" w:hAnsi="宋体" w:cs="宋体"/>
                <w:color w:val="000000"/>
                <w:kern w:val="0"/>
                <w:sz w:val="20"/>
                <w:szCs w:val="20"/>
              </w:rPr>
            </w:pPr>
            <w:r>
              <w:rPr>
                <w:rFonts w:hint="eastAsia" w:ascii="宋体" w:hAnsi="宋体" w:cs="宋体"/>
                <w:color w:val="000000"/>
                <w:kern w:val="0"/>
                <w:sz w:val="20"/>
                <w:szCs w:val="20"/>
              </w:rPr>
              <w:t>195.31</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3E87A67F">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52C3696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tcBorders>
              <w:top w:val="single" w:color="auto" w:sz="4" w:space="0"/>
              <w:left w:val="nil"/>
              <w:bottom w:val="single" w:color="auto" w:sz="4" w:space="0"/>
              <w:right w:val="single" w:color="auto" w:sz="4" w:space="0"/>
            </w:tcBorders>
            <w:shd w:val="clear" w:color="auto" w:fill="auto"/>
            <w:vAlign w:val="center"/>
          </w:tcPr>
          <w:p w14:paraId="35238DFB">
            <w:pPr>
              <w:widowControl/>
              <w:jc w:val="center"/>
              <w:rPr>
                <w:rFonts w:ascii="宋体" w:hAnsi="宋体" w:cs="宋体"/>
                <w:color w:val="000000"/>
                <w:kern w:val="0"/>
                <w:sz w:val="20"/>
                <w:szCs w:val="20"/>
              </w:rPr>
            </w:pPr>
            <w:r>
              <w:rPr>
                <w:rFonts w:hint="eastAsia" w:ascii="宋体" w:hAnsi="宋体" w:cs="宋体"/>
                <w:color w:val="000000"/>
                <w:kern w:val="0"/>
                <w:sz w:val="20"/>
                <w:szCs w:val="20"/>
              </w:rPr>
              <w:t>9.77</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12E90073">
            <w:pPr>
              <w:widowControl/>
              <w:jc w:val="center"/>
              <w:rPr>
                <w:rFonts w:ascii="宋体" w:hAnsi="宋体" w:cs="宋体"/>
                <w:color w:val="000000"/>
                <w:kern w:val="0"/>
                <w:sz w:val="20"/>
                <w:szCs w:val="20"/>
              </w:rPr>
            </w:pPr>
            <w:r>
              <w:rPr>
                <w:rFonts w:hint="eastAsia" w:ascii="宋体" w:hAnsi="宋体" w:cs="宋体"/>
                <w:color w:val="000000"/>
                <w:kern w:val="0"/>
                <w:sz w:val="20"/>
                <w:szCs w:val="20"/>
              </w:rPr>
              <w:t>195万元为委托业务费，其余5万为差旅费，目前0.469万元还未使用。</w:t>
            </w:r>
          </w:p>
        </w:tc>
      </w:tr>
      <w:tr w14:paraId="401ADC3B">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01D590AE">
            <w:pPr>
              <w:widowControl/>
              <w:jc w:val="center"/>
              <w:rPr>
                <w:rFonts w:ascii="宋体" w:hAnsi="宋体" w:cs="宋体"/>
                <w:color w:val="000000"/>
                <w:kern w:val="0"/>
                <w:sz w:val="20"/>
                <w:szCs w:val="20"/>
              </w:rPr>
            </w:pPr>
          </w:p>
        </w:tc>
        <w:tc>
          <w:tcPr>
            <w:tcW w:w="3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994702">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354" w:type="pct"/>
            <w:tcBorders>
              <w:top w:val="single" w:color="auto" w:sz="4" w:space="0"/>
              <w:left w:val="nil"/>
              <w:bottom w:val="single" w:color="auto" w:sz="4" w:space="0"/>
              <w:right w:val="single" w:color="auto" w:sz="4" w:space="0"/>
            </w:tcBorders>
            <w:shd w:val="clear" w:color="auto" w:fill="auto"/>
            <w:vAlign w:val="center"/>
          </w:tcPr>
          <w:p w14:paraId="7F9D889E">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7549ADF5">
            <w:pPr>
              <w:widowControl/>
              <w:jc w:val="center"/>
              <w:rPr>
                <w:rFonts w:ascii="宋体" w:hAnsi="宋体" w:cs="宋体"/>
                <w:color w:val="000000"/>
                <w:kern w:val="0"/>
                <w:sz w:val="20"/>
                <w:szCs w:val="20"/>
              </w:rPr>
            </w:pPr>
            <w:r>
              <w:rPr>
                <w:rFonts w:hint="eastAsia" w:ascii="宋体" w:hAnsi="宋体" w:cs="宋体"/>
                <w:color w:val="000000"/>
                <w:kern w:val="0"/>
                <w:sz w:val="20"/>
                <w:szCs w:val="20"/>
              </w:rPr>
              <w:t>生产的经济效益</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16472D64">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3" w:type="pct"/>
            <w:tcBorders>
              <w:top w:val="single" w:color="auto" w:sz="4" w:space="0"/>
              <w:left w:val="nil"/>
              <w:bottom w:val="single" w:color="auto" w:sz="4" w:space="0"/>
              <w:right w:val="single" w:color="auto" w:sz="4" w:space="0"/>
            </w:tcBorders>
            <w:shd w:val="clear" w:color="auto" w:fill="auto"/>
            <w:vAlign w:val="center"/>
          </w:tcPr>
          <w:p w14:paraId="17A1AD25">
            <w:pPr>
              <w:widowControl/>
              <w:jc w:val="center"/>
              <w:rPr>
                <w:rFonts w:ascii="宋体" w:hAnsi="宋体" w:cs="宋体"/>
                <w:color w:val="000000"/>
                <w:kern w:val="0"/>
                <w:sz w:val="20"/>
                <w:szCs w:val="20"/>
              </w:rPr>
            </w:pP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481A5FB9">
            <w:pPr>
              <w:widowControl/>
              <w:jc w:val="center"/>
              <w:rPr>
                <w:rFonts w:ascii="宋体" w:hAnsi="宋体" w:cs="宋体"/>
                <w:color w:val="000000"/>
                <w:kern w:val="0"/>
                <w:sz w:val="20"/>
                <w:szCs w:val="20"/>
              </w:rPr>
            </w:pPr>
            <w:r>
              <w:rPr>
                <w:rFonts w:hint="eastAsia" w:ascii="宋体" w:hAnsi="宋体" w:cs="宋体"/>
                <w:color w:val="000000"/>
                <w:kern w:val="0"/>
                <w:sz w:val="20"/>
                <w:szCs w:val="20"/>
              </w:rPr>
              <w:t>华西牛育种群</w:t>
            </w:r>
          </w:p>
        </w:tc>
        <w:tc>
          <w:tcPr>
            <w:tcW w:w="427" w:type="pct"/>
            <w:tcBorders>
              <w:top w:val="single" w:color="auto" w:sz="4" w:space="0"/>
              <w:left w:val="nil"/>
              <w:bottom w:val="single" w:color="auto" w:sz="4" w:space="0"/>
              <w:right w:val="single" w:color="auto" w:sz="4" w:space="0"/>
            </w:tcBorders>
            <w:shd w:val="clear" w:color="auto" w:fill="auto"/>
            <w:vAlign w:val="center"/>
          </w:tcPr>
          <w:p w14:paraId="31D1696D">
            <w:pPr>
              <w:widowControl/>
              <w:jc w:val="center"/>
              <w:rPr>
                <w:rFonts w:ascii="宋体" w:hAnsi="宋体" w:cs="宋体"/>
                <w:color w:val="000000"/>
                <w:kern w:val="0"/>
                <w:sz w:val="20"/>
                <w:szCs w:val="20"/>
              </w:rPr>
            </w:pPr>
            <w:r>
              <w:rPr>
                <w:rFonts w:hint="eastAsia" w:ascii="宋体" w:hAnsi="宋体" w:cs="宋体"/>
                <w:color w:val="000000"/>
                <w:kern w:val="0"/>
                <w:sz w:val="20"/>
                <w:szCs w:val="20"/>
              </w:rPr>
              <w:t>华西牛育种群</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66199B84">
            <w:pPr>
              <w:widowControl/>
              <w:jc w:val="center"/>
              <w:rPr>
                <w:rFonts w:ascii="宋体" w:hAnsi="宋体" w:cs="宋体"/>
                <w:color w:val="000000"/>
                <w:kern w:val="0"/>
                <w:sz w:val="20"/>
                <w:szCs w:val="20"/>
              </w:rPr>
            </w:pP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4C94EFE6">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28" w:type="pct"/>
            <w:tcBorders>
              <w:top w:val="single" w:color="auto" w:sz="4" w:space="0"/>
              <w:left w:val="nil"/>
              <w:bottom w:val="single" w:color="auto" w:sz="4" w:space="0"/>
              <w:right w:val="single" w:color="auto" w:sz="4" w:space="0"/>
            </w:tcBorders>
            <w:shd w:val="clear" w:color="auto" w:fill="auto"/>
            <w:vAlign w:val="center"/>
          </w:tcPr>
          <w:p w14:paraId="58350DA7">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7E810781">
            <w:pPr>
              <w:widowControl/>
              <w:jc w:val="center"/>
              <w:rPr>
                <w:rFonts w:ascii="宋体" w:hAnsi="宋体" w:cs="宋体"/>
                <w:color w:val="000000"/>
                <w:kern w:val="0"/>
                <w:sz w:val="20"/>
                <w:szCs w:val="20"/>
              </w:rPr>
            </w:pPr>
          </w:p>
        </w:tc>
      </w:tr>
      <w:tr w14:paraId="663BA54A">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241E42D1">
            <w:pPr>
              <w:widowControl/>
              <w:jc w:val="center"/>
              <w:rPr>
                <w:rFonts w:ascii="宋体" w:hAnsi="宋体" w:cs="宋体"/>
                <w:color w:val="000000"/>
                <w:kern w:val="0"/>
                <w:sz w:val="20"/>
                <w:szCs w:val="20"/>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14:paraId="744A418F">
            <w:pPr>
              <w:widowControl/>
              <w:jc w:val="center"/>
              <w:rPr>
                <w:rFonts w:ascii="宋体" w:hAnsi="宋体" w:cs="宋体"/>
                <w:color w:val="000000"/>
                <w:kern w:val="0"/>
                <w:sz w:val="20"/>
                <w:szCs w:val="20"/>
              </w:rPr>
            </w:pPr>
          </w:p>
        </w:tc>
        <w:tc>
          <w:tcPr>
            <w:tcW w:w="3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E040CC">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017A96BE">
            <w:pPr>
              <w:widowControl/>
              <w:jc w:val="center"/>
              <w:rPr>
                <w:rFonts w:ascii="宋体" w:hAnsi="宋体" w:cs="宋体"/>
                <w:color w:val="000000"/>
                <w:kern w:val="0"/>
                <w:sz w:val="20"/>
                <w:szCs w:val="20"/>
              </w:rPr>
            </w:pPr>
            <w:r>
              <w:rPr>
                <w:rFonts w:hint="eastAsia" w:ascii="宋体" w:hAnsi="宋体" w:cs="宋体"/>
                <w:color w:val="000000"/>
                <w:kern w:val="0"/>
                <w:sz w:val="20"/>
                <w:szCs w:val="20"/>
              </w:rPr>
              <w:t>优良品种的推广运用</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3BFC0EAB">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3" w:type="pct"/>
            <w:tcBorders>
              <w:top w:val="single" w:color="auto" w:sz="4" w:space="0"/>
              <w:left w:val="nil"/>
              <w:bottom w:val="single" w:color="auto" w:sz="4" w:space="0"/>
              <w:right w:val="single" w:color="auto" w:sz="4" w:space="0"/>
            </w:tcBorders>
            <w:shd w:val="clear" w:color="auto" w:fill="auto"/>
            <w:vAlign w:val="center"/>
          </w:tcPr>
          <w:p w14:paraId="288672B0">
            <w:pPr>
              <w:widowControl/>
              <w:jc w:val="center"/>
              <w:rPr>
                <w:rFonts w:ascii="宋体" w:hAnsi="宋体" w:cs="宋体"/>
                <w:color w:val="000000"/>
                <w:kern w:val="0"/>
                <w:sz w:val="20"/>
                <w:szCs w:val="20"/>
              </w:rPr>
            </w:pP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25108A27">
            <w:pPr>
              <w:widowControl/>
              <w:jc w:val="center"/>
              <w:rPr>
                <w:rFonts w:ascii="宋体" w:hAnsi="宋体" w:cs="宋体"/>
                <w:color w:val="000000"/>
                <w:kern w:val="0"/>
                <w:sz w:val="20"/>
                <w:szCs w:val="20"/>
              </w:rPr>
            </w:pPr>
            <w:r>
              <w:rPr>
                <w:rFonts w:hint="eastAsia" w:ascii="宋体" w:hAnsi="宋体" w:cs="宋体"/>
                <w:color w:val="000000"/>
                <w:kern w:val="0"/>
                <w:sz w:val="20"/>
                <w:szCs w:val="20"/>
              </w:rPr>
              <w:t>提高</w:t>
            </w:r>
          </w:p>
        </w:tc>
        <w:tc>
          <w:tcPr>
            <w:tcW w:w="427" w:type="pct"/>
            <w:tcBorders>
              <w:top w:val="single" w:color="auto" w:sz="4" w:space="0"/>
              <w:left w:val="nil"/>
              <w:bottom w:val="single" w:color="auto" w:sz="4" w:space="0"/>
              <w:right w:val="single" w:color="auto" w:sz="4" w:space="0"/>
            </w:tcBorders>
            <w:shd w:val="clear" w:color="auto" w:fill="auto"/>
            <w:vAlign w:val="center"/>
          </w:tcPr>
          <w:p w14:paraId="40586AAF">
            <w:pPr>
              <w:widowControl/>
              <w:jc w:val="center"/>
              <w:rPr>
                <w:rFonts w:ascii="宋体" w:hAnsi="宋体" w:cs="宋体"/>
                <w:color w:val="000000"/>
                <w:kern w:val="0"/>
                <w:sz w:val="20"/>
                <w:szCs w:val="20"/>
              </w:rPr>
            </w:pPr>
            <w:r>
              <w:rPr>
                <w:rFonts w:hint="eastAsia" w:ascii="宋体" w:hAnsi="宋体" w:cs="宋体"/>
                <w:color w:val="000000"/>
                <w:kern w:val="0"/>
                <w:sz w:val="20"/>
                <w:szCs w:val="20"/>
              </w:rPr>
              <w:t>提高</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5FA357A2">
            <w:pPr>
              <w:widowControl/>
              <w:jc w:val="center"/>
              <w:rPr>
                <w:rFonts w:ascii="宋体" w:hAnsi="宋体" w:cs="宋体"/>
                <w:color w:val="000000"/>
                <w:kern w:val="0"/>
                <w:sz w:val="20"/>
                <w:szCs w:val="20"/>
              </w:rPr>
            </w:pP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532436AD">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28" w:type="pct"/>
            <w:tcBorders>
              <w:top w:val="single" w:color="auto" w:sz="4" w:space="0"/>
              <w:left w:val="nil"/>
              <w:bottom w:val="single" w:color="auto" w:sz="4" w:space="0"/>
              <w:right w:val="single" w:color="auto" w:sz="4" w:space="0"/>
            </w:tcBorders>
            <w:shd w:val="clear" w:color="auto" w:fill="auto"/>
            <w:vAlign w:val="center"/>
          </w:tcPr>
          <w:p w14:paraId="7457416C">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103A1253">
            <w:pPr>
              <w:widowControl/>
              <w:jc w:val="center"/>
              <w:rPr>
                <w:rFonts w:ascii="宋体" w:hAnsi="宋体" w:cs="宋体"/>
                <w:color w:val="000000"/>
                <w:kern w:val="0"/>
                <w:sz w:val="20"/>
                <w:szCs w:val="20"/>
              </w:rPr>
            </w:pPr>
          </w:p>
        </w:tc>
      </w:tr>
      <w:tr w14:paraId="5EF65BB9">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20A17709">
            <w:pPr>
              <w:widowControl/>
              <w:jc w:val="center"/>
              <w:rPr>
                <w:rFonts w:ascii="宋体" w:hAnsi="宋体" w:cs="宋体"/>
                <w:color w:val="000000"/>
                <w:kern w:val="0"/>
                <w:sz w:val="20"/>
                <w:szCs w:val="20"/>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14:paraId="10F49031">
            <w:pPr>
              <w:widowControl/>
              <w:jc w:val="center"/>
              <w:rPr>
                <w:rFonts w:ascii="宋体" w:hAnsi="宋体" w:cs="宋体"/>
                <w:color w:val="000000"/>
                <w:kern w:val="0"/>
                <w:sz w:val="20"/>
                <w:szCs w:val="20"/>
              </w:rPr>
            </w:pPr>
          </w:p>
        </w:tc>
        <w:tc>
          <w:tcPr>
            <w:tcW w:w="354" w:type="pct"/>
            <w:vMerge w:val="continue"/>
            <w:tcBorders>
              <w:top w:val="single" w:color="auto" w:sz="4" w:space="0"/>
              <w:left w:val="single" w:color="auto" w:sz="4" w:space="0"/>
              <w:bottom w:val="single" w:color="auto" w:sz="4" w:space="0"/>
              <w:right w:val="single" w:color="auto" w:sz="4" w:space="0"/>
            </w:tcBorders>
            <w:vAlign w:val="center"/>
          </w:tcPr>
          <w:p w14:paraId="4314A5AB">
            <w:pPr>
              <w:widowControl/>
              <w:jc w:val="center"/>
              <w:rPr>
                <w:rFonts w:ascii="宋体" w:hAnsi="宋体" w:cs="宋体"/>
                <w:color w:val="000000"/>
                <w:kern w:val="0"/>
                <w:sz w:val="20"/>
                <w:szCs w:val="20"/>
              </w:rPr>
            </w:pP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04EA35E3">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资金使用重大违规违纪问题</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74B98E7B">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3" w:type="pct"/>
            <w:tcBorders>
              <w:top w:val="single" w:color="auto" w:sz="4" w:space="0"/>
              <w:left w:val="nil"/>
              <w:bottom w:val="single" w:color="auto" w:sz="4" w:space="0"/>
              <w:right w:val="single" w:color="auto" w:sz="4" w:space="0"/>
            </w:tcBorders>
            <w:shd w:val="clear" w:color="auto" w:fill="auto"/>
            <w:vAlign w:val="center"/>
          </w:tcPr>
          <w:p w14:paraId="79120FEA">
            <w:pPr>
              <w:widowControl/>
              <w:jc w:val="center"/>
              <w:rPr>
                <w:rFonts w:ascii="宋体" w:hAnsi="宋体" w:cs="宋体"/>
                <w:color w:val="000000"/>
                <w:kern w:val="0"/>
                <w:sz w:val="20"/>
                <w:szCs w:val="20"/>
              </w:rPr>
            </w:pP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06DCFCCA">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427" w:type="pct"/>
            <w:tcBorders>
              <w:top w:val="single" w:color="auto" w:sz="4" w:space="0"/>
              <w:left w:val="nil"/>
              <w:bottom w:val="single" w:color="auto" w:sz="4" w:space="0"/>
              <w:right w:val="single" w:color="auto" w:sz="4" w:space="0"/>
            </w:tcBorders>
            <w:shd w:val="clear" w:color="auto" w:fill="auto"/>
            <w:vAlign w:val="center"/>
          </w:tcPr>
          <w:p w14:paraId="19C38E45">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17A9F8C3">
            <w:pPr>
              <w:widowControl/>
              <w:jc w:val="center"/>
              <w:rPr>
                <w:rFonts w:ascii="宋体" w:hAnsi="宋体" w:cs="宋体"/>
                <w:color w:val="000000"/>
                <w:kern w:val="0"/>
                <w:sz w:val="20"/>
                <w:szCs w:val="20"/>
              </w:rPr>
            </w:pP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4793E222">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28" w:type="pct"/>
            <w:tcBorders>
              <w:top w:val="single" w:color="auto" w:sz="4" w:space="0"/>
              <w:left w:val="nil"/>
              <w:bottom w:val="single" w:color="auto" w:sz="4" w:space="0"/>
              <w:right w:val="single" w:color="auto" w:sz="4" w:space="0"/>
            </w:tcBorders>
            <w:shd w:val="clear" w:color="auto" w:fill="auto"/>
            <w:vAlign w:val="center"/>
          </w:tcPr>
          <w:p w14:paraId="5D5796B0">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66441CBA">
            <w:pPr>
              <w:widowControl/>
              <w:jc w:val="center"/>
              <w:rPr>
                <w:rFonts w:ascii="宋体" w:hAnsi="宋体" w:cs="宋体"/>
                <w:color w:val="000000"/>
                <w:kern w:val="0"/>
                <w:sz w:val="20"/>
                <w:szCs w:val="20"/>
              </w:rPr>
            </w:pPr>
          </w:p>
        </w:tc>
      </w:tr>
      <w:tr w14:paraId="089D77EA">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2AA3518F">
            <w:pPr>
              <w:widowControl/>
              <w:jc w:val="center"/>
              <w:rPr>
                <w:rFonts w:ascii="宋体" w:hAnsi="宋体" w:cs="宋体"/>
                <w:color w:val="000000"/>
                <w:kern w:val="0"/>
                <w:sz w:val="20"/>
                <w:szCs w:val="20"/>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14:paraId="720CE229">
            <w:pPr>
              <w:widowControl/>
              <w:jc w:val="center"/>
              <w:rPr>
                <w:rFonts w:ascii="宋体" w:hAnsi="宋体" w:cs="宋体"/>
                <w:color w:val="000000"/>
                <w:kern w:val="0"/>
                <w:sz w:val="20"/>
                <w:szCs w:val="20"/>
              </w:rPr>
            </w:pPr>
          </w:p>
        </w:tc>
        <w:tc>
          <w:tcPr>
            <w:tcW w:w="354" w:type="pct"/>
            <w:tcBorders>
              <w:top w:val="single" w:color="auto" w:sz="4" w:space="0"/>
              <w:left w:val="nil"/>
              <w:bottom w:val="single" w:color="auto" w:sz="4" w:space="0"/>
              <w:right w:val="single" w:color="auto" w:sz="4" w:space="0"/>
            </w:tcBorders>
            <w:shd w:val="clear" w:color="auto" w:fill="auto"/>
            <w:vAlign w:val="center"/>
          </w:tcPr>
          <w:p w14:paraId="0322B62A">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38C12ACA">
            <w:pPr>
              <w:widowControl/>
              <w:jc w:val="center"/>
              <w:rPr>
                <w:rFonts w:ascii="宋体" w:hAnsi="宋体" w:cs="宋体"/>
                <w:color w:val="000000"/>
                <w:kern w:val="0"/>
                <w:sz w:val="20"/>
                <w:szCs w:val="20"/>
              </w:rPr>
            </w:pPr>
            <w:r>
              <w:rPr>
                <w:rFonts w:hint="eastAsia" w:ascii="宋体" w:hAnsi="宋体" w:cs="宋体"/>
                <w:color w:val="000000"/>
                <w:kern w:val="0"/>
                <w:sz w:val="20"/>
                <w:szCs w:val="20"/>
              </w:rPr>
              <w:t>节能减排和低碳环保水平</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1028BF12">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3" w:type="pct"/>
            <w:tcBorders>
              <w:top w:val="single" w:color="auto" w:sz="4" w:space="0"/>
              <w:left w:val="nil"/>
              <w:bottom w:val="single" w:color="auto" w:sz="4" w:space="0"/>
              <w:right w:val="single" w:color="auto" w:sz="4" w:space="0"/>
            </w:tcBorders>
            <w:shd w:val="clear" w:color="auto" w:fill="auto"/>
            <w:vAlign w:val="center"/>
          </w:tcPr>
          <w:p w14:paraId="1EAD6446">
            <w:pPr>
              <w:widowControl/>
              <w:jc w:val="center"/>
              <w:rPr>
                <w:rFonts w:ascii="宋体" w:hAnsi="宋体" w:cs="宋体"/>
                <w:color w:val="000000"/>
                <w:kern w:val="0"/>
                <w:sz w:val="20"/>
                <w:szCs w:val="20"/>
              </w:rPr>
            </w:pP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2373433A">
            <w:pPr>
              <w:widowControl/>
              <w:jc w:val="center"/>
              <w:rPr>
                <w:rFonts w:ascii="宋体" w:hAnsi="宋体" w:cs="宋体"/>
                <w:color w:val="000000"/>
                <w:kern w:val="0"/>
                <w:sz w:val="20"/>
                <w:szCs w:val="20"/>
              </w:rPr>
            </w:pPr>
            <w:r>
              <w:rPr>
                <w:rFonts w:hint="eastAsia" w:ascii="宋体" w:hAnsi="宋体" w:cs="宋体"/>
                <w:color w:val="000000"/>
                <w:kern w:val="0"/>
                <w:sz w:val="20"/>
                <w:szCs w:val="20"/>
              </w:rPr>
              <w:t>提高</w:t>
            </w:r>
          </w:p>
        </w:tc>
        <w:tc>
          <w:tcPr>
            <w:tcW w:w="427" w:type="pct"/>
            <w:tcBorders>
              <w:top w:val="single" w:color="auto" w:sz="4" w:space="0"/>
              <w:left w:val="nil"/>
              <w:bottom w:val="single" w:color="auto" w:sz="4" w:space="0"/>
              <w:right w:val="single" w:color="auto" w:sz="4" w:space="0"/>
            </w:tcBorders>
            <w:shd w:val="clear" w:color="auto" w:fill="auto"/>
            <w:vAlign w:val="center"/>
          </w:tcPr>
          <w:p w14:paraId="6FEEF46A">
            <w:pPr>
              <w:widowControl/>
              <w:jc w:val="center"/>
              <w:rPr>
                <w:rFonts w:ascii="宋体" w:hAnsi="宋体" w:cs="宋体"/>
                <w:color w:val="000000"/>
                <w:kern w:val="0"/>
                <w:sz w:val="20"/>
                <w:szCs w:val="20"/>
              </w:rPr>
            </w:pPr>
            <w:r>
              <w:rPr>
                <w:rFonts w:hint="eastAsia" w:ascii="宋体" w:hAnsi="宋体" w:cs="宋体"/>
                <w:color w:val="000000"/>
                <w:kern w:val="0"/>
                <w:sz w:val="20"/>
                <w:szCs w:val="20"/>
              </w:rPr>
              <w:t>提高</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2E36C673">
            <w:pPr>
              <w:widowControl/>
              <w:jc w:val="center"/>
              <w:rPr>
                <w:rFonts w:ascii="宋体" w:hAnsi="宋体" w:cs="宋体"/>
                <w:color w:val="000000"/>
                <w:kern w:val="0"/>
                <w:sz w:val="20"/>
                <w:szCs w:val="20"/>
              </w:rPr>
            </w:pP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60FD6B86">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28" w:type="pct"/>
            <w:tcBorders>
              <w:top w:val="single" w:color="auto" w:sz="4" w:space="0"/>
              <w:left w:val="nil"/>
              <w:bottom w:val="single" w:color="auto" w:sz="4" w:space="0"/>
              <w:right w:val="single" w:color="auto" w:sz="4" w:space="0"/>
            </w:tcBorders>
            <w:shd w:val="clear" w:color="auto" w:fill="auto"/>
            <w:vAlign w:val="center"/>
          </w:tcPr>
          <w:p w14:paraId="7063C8AD">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4D095D63">
            <w:pPr>
              <w:widowControl/>
              <w:jc w:val="center"/>
              <w:rPr>
                <w:rFonts w:ascii="宋体" w:hAnsi="宋体" w:cs="宋体"/>
                <w:color w:val="000000"/>
                <w:kern w:val="0"/>
                <w:sz w:val="20"/>
                <w:szCs w:val="20"/>
              </w:rPr>
            </w:pPr>
          </w:p>
        </w:tc>
      </w:tr>
      <w:tr w14:paraId="2F7656C5">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06EFEB82">
            <w:pPr>
              <w:widowControl/>
              <w:jc w:val="center"/>
              <w:rPr>
                <w:rFonts w:ascii="宋体" w:hAnsi="宋体" w:cs="宋体"/>
                <w:color w:val="000000"/>
                <w:kern w:val="0"/>
                <w:sz w:val="20"/>
                <w:szCs w:val="20"/>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14:paraId="201DAF78">
            <w:pPr>
              <w:widowControl/>
              <w:jc w:val="center"/>
              <w:rPr>
                <w:rFonts w:ascii="宋体" w:hAnsi="宋体" w:cs="宋体"/>
                <w:color w:val="000000"/>
                <w:kern w:val="0"/>
                <w:sz w:val="20"/>
                <w:szCs w:val="20"/>
              </w:rPr>
            </w:pPr>
          </w:p>
        </w:tc>
        <w:tc>
          <w:tcPr>
            <w:tcW w:w="354" w:type="pct"/>
            <w:tcBorders>
              <w:top w:val="single" w:color="auto" w:sz="4" w:space="0"/>
              <w:left w:val="nil"/>
              <w:bottom w:val="single" w:color="auto" w:sz="4" w:space="0"/>
              <w:right w:val="single" w:color="auto" w:sz="4" w:space="0"/>
            </w:tcBorders>
            <w:shd w:val="clear" w:color="auto" w:fill="auto"/>
            <w:vAlign w:val="center"/>
          </w:tcPr>
          <w:p w14:paraId="0EA631BE">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2B92CD76">
            <w:pPr>
              <w:widowControl/>
              <w:jc w:val="center"/>
              <w:rPr>
                <w:rFonts w:ascii="宋体" w:hAnsi="宋体" w:cs="宋体"/>
                <w:color w:val="000000"/>
                <w:kern w:val="0"/>
                <w:sz w:val="20"/>
                <w:szCs w:val="20"/>
              </w:rPr>
            </w:pPr>
            <w:r>
              <w:rPr>
                <w:rFonts w:hint="eastAsia" w:ascii="宋体" w:hAnsi="宋体" w:cs="宋体"/>
                <w:color w:val="000000"/>
                <w:kern w:val="0"/>
                <w:sz w:val="20"/>
                <w:szCs w:val="20"/>
              </w:rPr>
              <w:t>产生的可持续影响</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4B1C7827">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3" w:type="pct"/>
            <w:tcBorders>
              <w:top w:val="single" w:color="auto" w:sz="4" w:space="0"/>
              <w:left w:val="nil"/>
              <w:bottom w:val="single" w:color="auto" w:sz="4" w:space="0"/>
              <w:right w:val="single" w:color="auto" w:sz="4" w:space="0"/>
            </w:tcBorders>
            <w:shd w:val="clear" w:color="auto" w:fill="auto"/>
            <w:vAlign w:val="center"/>
          </w:tcPr>
          <w:p w14:paraId="2500DF9A">
            <w:pPr>
              <w:widowControl/>
              <w:jc w:val="center"/>
              <w:rPr>
                <w:rFonts w:ascii="宋体" w:hAnsi="宋体" w:cs="宋体"/>
                <w:color w:val="000000"/>
                <w:kern w:val="0"/>
                <w:sz w:val="20"/>
                <w:szCs w:val="20"/>
              </w:rPr>
            </w:pP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25A4366A">
            <w:pPr>
              <w:widowControl/>
              <w:jc w:val="center"/>
              <w:rPr>
                <w:rFonts w:ascii="宋体" w:hAnsi="宋体" w:cs="宋体"/>
                <w:color w:val="000000"/>
                <w:kern w:val="0"/>
                <w:sz w:val="20"/>
                <w:szCs w:val="20"/>
              </w:rPr>
            </w:pPr>
            <w:r>
              <w:rPr>
                <w:rFonts w:hint="eastAsia" w:ascii="宋体" w:hAnsi="宋体" w:cs="宋体"/>
                <w:color w:val="000000"/>
                <w:kern w:val="0"/>
                <w:sz w:val="20"/>
                <w:szCs w:val="20"/>
              </w:rPr>
              <w:t>1年</w:t>
            </w:r>
          </w:p>
        </w:tc>
        <w:tc>
          <w:tcPr>
            <w:tcW w:w="427" w:type="pct"/>
            <w:tcBorders>
              <w:top w:val="single" w:color="auto" w:sz="4" w:space="0"/>
              <w:left w:val="nil"/>
              <w:bottom w:val="single" w:color="auto" w:sz="4" w:space="0"/>
              <w:right w:val="single" w:color="auto" w:sz="4" w:space="0"/>
            </w:tcBorders>
            <w:shd w:val="clear" w:color="auto" w:fill="auto"/>
            <w:vAlign w:val="center"/>
          </w:tcPr>
          <w:p w14:paraId="01033E95">
            <w:pPr>
              <w:widowControl/>
              <w:jc w:val="center"/>
              <w:rPr>
                <w:rFonts w:ascii="宋体" w:hAnsi="宋体" w:cs="宋体"/>
                <w:color w:val="000000"/>
                <w:kern w:val="0"/>
                <w:sz w:val="20"/>
                <w:szCs w:val="20"/>
              </w:rPr>
            </w:pPr>
            <w:r>
              <w:rPr>
                <w:rFonts w:hint="eastAsia" w:ascii="宋体" w:hAnsi="宋体" w:cs="宋体"/>
                <w:color w:val="000000"/>
                <w:kern w:val="0"/>
                <w:sz w:val="20"/>
                <w:szCs w:val="20"/>
              </w:rPr>
              <w:t>1年</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7B0A0556">
            <w:pPr>
              <w:widowControl/>
              <w:jc w:val="center"/>
              <w:rPr>
                <w:rFonts w:ascii="宋体" w:hAnsi="宋体" w:cs="宋体"/>
                <w:color w:val="000000"/>
                <w:kern w:val="0"/>
                <w:sz w:val="20"/>
                <w:szCs w:val="20"/>
              </w:rPr>
            </w:pP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1E29C943">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28" w:type="pct"/>
            <w:tcBorders>
              <w:top w:val="single" w:color="auto" w:sz="4" w:space="0"/>
              <w:left w:val="nil"/>
              <w:bottom w:val="single" w:color="auto" w:sz="4" w:space="0"/>
              <w:right w:val="single" w:color="auto" w:sz="4" w:space="0"/>
            </w:tcBorders>
            <w:shd w:val="clear" w:color="auto" w:fill="auto"/>
            <w:vAlign w:val="center"/>
          </w:tcPr>
          <w:p w14:paraId="4C5A4D9D">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05BED4C0">
            <w:pPr>
              <w:widowControl/>
              <w:jc w:val="center"/>
              <w:rPr>
                <w:rFonts w:ascii="宋体" w:hAnsi="宋体" w:cs="宋体"/>
                <w:color w:val="000000"/>
                <w:kern w:val="0"/>
                <w:sz w:val="20"/>
                <w:szCs w:val="20"/>
              </w:rPr>
            </w:pPr>
          </w:p>
        </w:tc>
      </w:tr>
      <w:tr w14:paraId="21A8FFA4">
        <w:tblPrEx>
          <w:tblCellMar>
            <w:top w:w="0" w:type="dxa"/>
            <w:left w:w="108" w:type="dxa"/>
            <w:bottom w:w="0" w:type="dxa"/>
            <w:right w:w="108" w:type="dxa"/>
          </w:tblCellMar>
        </w:tblPrEx>
        <w:trPr>
          <w:trHeight w:val="8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594513E0">
            <w:pPr>
              <w:widowControl/>
              <w:jc w:val="center"/>
              <w:rPr>
                <w:rFonts w:ascii="宋体" w:hAnsi="宋体" w:cs="宋体"/>
                <w:color w:val="000000"/>
                <w:kern w:val="0"/>
                <w:sz w:val="20"/>
                <w:szCs w:val="20"/>
              </w:rPr>
            </w:pPr>
          </w:p>
        </w:tc>
        <w:tc>
          <w:tcPr>
            <w:tcW w:w="367" w:type="pct"/>
            <w:tcBorders>
              <w:top w:val="single" w:color="auto" w:sz="4" w:space="0"/>
              <w:left w:val="nil"/>
              <w:bottom w:val="single" w:color="auto" w:sz="4" w:space="0"/>
              <w:right w:val="single" w:color="auto" w:sz="4" w:space="0"/>
            </w:tcBorders>
            <w:shd w:val="clear" w:color="auto" w:fill="auto"/>
            <w:vAlign w:val="center"/>
          </w:tcPr>
          <w:p w14:paraId="351E7DB5">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354" w:type="pct"/>
            <w:tcBorders>
              <w:top w:val="single" w:color="auto" w:sz="4" w:space="0"/>
              <w:left w:val="nil"/>
              <w:bottom w:val="single" w:color="auto" w:sz="4" w:space="0"/>
              <w:right w:val="single" w:color="auto" w:sz="4" w:space="0"/>
            </w:tcBorders>
            <w:shd w:val="clear" w:color="auto" w:fill="auto"/>
            <w:vAlign w:val="center"/>
          </w:tcPr>
          <w:p w14:paraId="2CE9731B">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14:paraId="0AE78A08">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项目区农牧民满意度</w:t>
            </w:r>
          </w:p>
        </w:tc>
        <w:tc>
          <w:tcPr>
            <w:tcW w:w="354" w:type="pct"/>
            <w:gridSpan w:val="2"/>
            <w:tcBorders>
              <w:top w:val="single" w:color="auto" w:sz="4" w:space="0"/>
              <w:left w:val="nil"/>
              <w:bottom w:val="single" w:color="auto" w:sz="4" w:space="0"/>
              <w:right w:val="single" w:color="auto" w:sz="4" w:space="0"/>
            </w:tcBorders>
            <w:shd w:val="clear" w:color="auto" w:fill="auto"/>
            <w:vAlign w:val="center"/>
          </w:tcPr>
          <w:p w14:paraId="6F834DCA">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tcBorders>
              <w:top w:val="single" w:color="auto" w:sz="4" w:space="0"/>
              <w:left w:val="nil"/>
              <w:bottom w:val="single" w:color="auto" w:sz="4" w:space="0"/>
              <w:right w:val="single" w:color="auto" w:sz="4" w:space="0"/>
            </w:tcBorders>
            <w:shd w:val="clear" w:color="auto" w:fill="auto"/>
            <w:vAlign w:val="center"/>
          </w:tcPr>
          <w:p w14:paraId="6CB493B4">
            <w:pPr>
              <w:widowControl/>
              <w:jc w:val="center"/>
              <w:rPr>
                <w:rFonts w:ascii="宋体" w:hAnsi="宋体" w:cs="宋体"/>
                <w:color w:val="000000"/>
                <w:kern w:val="0"/>
                <w:sz w:val="20"/>
                <w:szCs w:val="20"/>
              </w:rPr>
            </w:pPr>
            <w:r>
              <w:rPr>
                <w:rFonts w:hint="eastAsia" w:ascii="宋体" w:hAnsi="宋体" w:cs="宋体"/>
                <w:color w:val="000000"/>
                <w:kern w:val="0"/>
                <w:sz w:val="20"/>
                <w:szCs w:val="20"/>
              </w:rPr>
              <w:t>大于等于</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14:paraId="183992E8">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427" w:type="pct"/>
            <w:tcBorders>
              <w:top w:val="single" w:color="auto" w:sz="4" w:space="0"/>
              <w:left w:val="nil"/>
              <w:bottom w:val="single" w:color="auto" w:sz="4" w:space="0"/>
              <w:right w:val="single" w:color="auto" w:sz="4" w:space="0"/>
            </w:tcBorders>
            <w:shd w:val="clear" w:color="auto" w:fill="auto"/>
            <w:vAlign w:val="center"/>
          </w:tcPr>
          <w:p w14:paraId="7B7DB486">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355" w:type="pct"/>
            <w:gridSpan w:val="2"/>
            <w:tcBorders>
              <w:top w:val="single" w:color="auto" w:sz="4" w:space="0"/>
              <w:left w:val="nil"/>
              <w:bottom w:val="single" w:color="auto" w:sz="4" w:space="0"/>
              <w:right w:val="single" w:color="auto" w:sz="4" w:space="0"/>
            </w:tcBorders>
            <w:shd w:val="clear" w:color="auto" w:fill="auto"/>
            <w:vAlign w:val="center"/>
          </w:tcPr>
          <w:p w14:paraId="0AD2FF2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27" w:type="pct"/>
            <w:gridSpan w:val="2"/>
            <w:tcBorders>
              <w:top w:val="single" w:color="auto" w:sz="4" w:space="0"/>
              <w:left w:val="nil"/>
              <w:bottom w:val="single" w:color="auto" w:sz="4" w:space="0"/>
              <w:right w:val="single" w:color="auto" w:sz="4" w:space="0"/>
            </w:tcBorders>
            <w:shd w:val="clear" w:color="auto" w:fill="auto"/>
            <w:vAlign w:val="center"/>
          </w:tcPr>
          <w:p w14:paraId="1A9DE17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tcBorders>
              <w:top w:val="single" w:color="auto" w:sz="4" w:space="0"/>
              <w:left w:val="nil"/>
              <w:bottom w:val="single" w:color="auto" w:sz="4" w:space="0"/>
              <w:right w:val="single" w:color="auto" w:sz="4" w:space="0"/>
            </w:tcBorders>
            <w:shd w:val="clear" w:color="auto" w:fill="auto"/>
            <w:vAlign w:val="center"/>
          </w:tcPr>
          <w:p w14:paraId="35A7C85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tcBorders>
              <w:top w:val="single" w:color="auto" w:sz="4" w:space="0"/>
              <w:left w:val="nil"/>
              <w:bottom w:val="single" w:color="auto" w:sz="4" w:space="0"/>
              <w:right w:val="single" w:color="auto" w:sz="4" w:space="0"/>
            </w:tcBorders>
            <w:shd w:val="clear" w:color="auto" w:fill="auto"/>
            <w:vAlign w:val="center"/>
          </w:tcPr>
          <w:p w14:paraId="4499FDAA">
            <w:pPr>
              <w:widowControl/>
              <w:jc w:val="center"/>
              <w:rPr>
                <w:rFonts w:ascii="宋体" w:hAnsi="宋体" w:cs="宋体"/>
                <w:color w:val="000000"/>
                <w:kern w:val="0"/>
                <w:sz w:val="20"/>
                <w:szCs w:val="20"/>
              </w:rPr>
            </w:pPr>
          </w:p>
        </w:tc>
      </w:tr>
      <w:tr w14:paraId="20154994">
        <w:tblPrEx>
          <w:tblCellMar>
            <w:top w:w="0" w:type="dxa"/>
            <w:left w:w="108" w:type="dxa"/>
            <w:bottom w:w="0" w:type="dxa"/>
            <w:right w:w="108" w:type="dxa"/>
          </w:tblCellMar>
        </w:tblPrEx>
        <w:trPr>
          <w:trHeight w:val="840" w:hRule="atLeast"/>
        </w:trPr>
        <w:tc>
          <w:tcPr>
            <w:tcW w:w="3471"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14:paraId="776C64BF">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4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18285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8A59FB8">
            <w:pPr>
              <w:widowControl/>
              <w:jc w:val="center"/>
              <w:rPr>
                <w:rFonts w:ascii="宋体" w:hAnsi="宋体" w:cs="宋体"/>
                <w:color w:val="000000"/>
                <w:kern w:val="0"/>
                <w:sz w:val="20"/>
                <w:szCs w:val="20"/>
              </w:rPr>
            </w:pPr>
            <w:r>
              <w:rPr>
                <w:rFonts w:hint="eastAsia" w:ascii="宋体" w:hAnsi="宋体" w:cs="宋体"/>
                <w:color w:val="000000"/>
                <w:kern w:val="0"/>
                <w:sz w:val="20"/>
                <w:szCs w:val="20"/>
              </w:rPr>
              <w:t>99.54</w:t>
            </w:r>
          </w:p>
        </w:tc>
        <w:tc>
          <w:tcPr>
            <w:tcW w:w="6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FA116F">
            <w:pPr>
              <w:widowControl/>
              <w:jc w:val="center"/>
              <w:rPr>
                <w:rFonts w:ascii="宋体" w:hAnsi="宋体" w:cs="宋体"/>
                <w:color w:val="000000"/>
                <w:kern w:val="0"/>
                <w:sz w:val="20"/>
                <w:szCs w:val="20"/>
              </w:rPr>
            </w:pPr>
          </w:p>
        </w:tc>
      </w:tr>
    </w:tbl>
    <w:p w14:paraId="253BDC1C">
      <w:pPr>
        <w:widowControl/>
        <w:spacing w:before="240" w:after="24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 xml:space="preserve"> </w:t>
      </w:r>
      <w:r>
        <w:rPr>
          <w:rFonts w:hint="eastAsia" w:ascii="仿宋" w:hAnsi="仿宋" w:eastAsia="仿宋" w:cs="仿宋"/>
          <w:kern w:val="0"/>
          <w:sz w:val="32"/>
          <w:szCs w:val="32"/>
        </w:rPr>
        <w:t>锡盟饲草饲料供应站人员工资保险项目自评综述：根据年初设定的绩效目标，项目自评得分</w:t>
      </w:r>
      <w:r>
        <w:rPr>
          <w:rFonts w:hint="eastAsia" w:ascii="仿宋" w:hAnsi="仿宋" w:eastAsia="仿宋" w:cs="仿宋"/>
          <w:kern w:val="0"/>
          <w:sz w:val="32"/>
          <w:szCs w:val="32"/>
          <w:u w:val="single"/>
        </w:rPr>
        <w:t>100.00</w:t>
      </w:r>
      <w:r>
        <w:rPr>
          <w:rFonts w:hint="eastAsia" w:ascii="仿宋" w:hAnsi="仿宋" w:eastAsia="仿宋" w:cs="仿宋"/>
          <w:kern w:val="0"/>
          <w:sz w:val="32"/>
          <w:szCs w:val="32"/>
        </w:rPr>
        <w:t>分。全年预算数为</w:t>
      </w:r>
      <w:r>
        <w:rPr>
          <w:rFonts w:hint="eastAsia" w:ascii="仿宋" w:hAnsi="仿宋" w:eastAsia="仿宋" w:cs="仿宋"/>
          <w:kern w:val="0"/>
          <w:sz w:val="32"/>
          <w:szCs w:val="32"/>
          <w:u w:val="single"/>
        </w:rPr>
        <w:t>191.99</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rPr>
        <w:t>191.99</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100</w:t>
      </w:r>
      <w:r>
        <w:rPr>
          <w:rFonts w:hint="eastAsia" w:ascii="仿宋" w:hAnsi="仿宋" w:eastAsia="仿宋" w:cs="仿宋"/>
          <w:kern w:val="0"/>
          <w:sz w:val="32"/>
          <w:szCs w:val="32"/>
        </w:rPr>
        <w:t>%。项目绩效目标完成情况：根据《关于盟饲草饲料供应站所属草场划转及职工安置有关事宜的批复》（锡署字〔2015〕42号）相关规定，支付锡盟饲草饲料供应站14名职工的工资等支出102.32万元；五险一金33.70万元；退休人员差额部分、伤残退休人员护理费、帮扶困难职工、子女助学等公益性支出费用55.97万元，合计191.99万元。发现的主要问题及原因：无。下一步改进措施：继续保障锡盟饲草饲料供应站职工工资及各项保险正常发放和缴纳，确保公司业务的正常运转。</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51"/>
        <w:gridCol w:w="707"/>
        <w:gridCol w:w="520"/>
        <w:gridCol w:w="199"/>
        <w:gridCol w:w="617"/>
        <w:gridCol w:w="86"/>
        <w:gridCol w:w="701"/>
        <w:gridCol w:w="834"/>
        <w:gridCol w:w="271"/>
        <w:gridCol w:w="1135"/>
        <w:gridCol w:w="227"/>
        <w:gridCol w:w="482"/>
        <w:gridCol w:w="321"/>
        <w:gridCol w:w="388"/>
        <w:gridCol w:w="432"/>
        <w:gridCol w:w="277"/>
        <w:gridCol w:w="544"/>
        <w:gridCol w:w="798"/>
      </w:tblGrid>
      <w:tr w14:paraId="440B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9"/>
            <w:shd w:val="clear" w:color="auto" w:fill="auto"/>
            <w:vAlign w:val="center"/>
          </w:tcPr>
          <w:p w14:paraId="26A1AA43">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项目支出绩效自评表(2023年度）</w:t>
            </w:r>
          </w:p>
        </w:tc>
      </w:tr>
      <w:tr w14:paraId="41F4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2" w:type="pct"/>
            <w:gridSpan w:val="2"/>
            <w:shd w:val="clear" w:color="auto" w:fill="auto"/>
            <w:vAlign w:val="center"/>
          </w:tcPr>
          <w:p w14:paraId="47690059">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4288" w:type="pct"/>
            <w:gridSpan w:val="17"/>
            <w:shd w:val="clear" w:color="auto" w:fill="auto"/>
            <w:vAlign w:val="center"/>
          </w:tcPr>
          <w:p w14:paraId="0B1CB7BC">
            <w:pPr>
              <w:widowControl/>
              <w:jc w:val="left"/>
              <w:rPr>
                <w:rFonts w:ascii="宋体" w:hAnsi="宋体" w:cs="宋体"/>
                <w:color w:val="000000"/>
                <w:kern w:val="0"/>
                <w:sz w:val="20"/>
                <w:szCs w:val="20"/>
              </w:rPr>
            </w:pPr>
            <w:r>
              <w:rPr>
                <w:rFonts w:hint="eastAsia" w:ascii="宋体" w:hAnsi="宋体" w:cs="宋体"/>
                <w:color w:val="000000"/>
                <w:kern w:val="0"/>
                <w:sz w:val="20"/>
                <w:szCs w:val="20"/>
              </w:rPr>
              <w:t>锡盟饲草饲料供应站人员工资保险</w:t>
            </w:r>
          </w:p>
        </w:tc>
      </w:tr>
      <w:tr w14:paraId="0BB4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2" w:type="pct"/>
            <w:gridSpan w:val="2"/>
            <w:shd w:val="clear" w:color="auto" w:fill="auto"/>
            <w:vAlign w:val="center"/>
          </w:tcPr>
          <w:p w14:paraId="564E8BC3">
            <w:pPr>
              <w:widowControl/>
              <w:jc w:val="left"/>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1840" w:type="pct"/>
            <w:gridSpan w:val="7"/>
            <w:shd w:val="clear" w:color="auto" w:fill="auto"/>
            <w:vAlign w:val="center"/>
          </w:tcPr>
          <w:p w14:paraId="0ACC8C74">
            <w:pPr>
              <w:widowControl/>
              <w:jc w:val="left"/>
              <w:rPr>
                <w:rFonts w:ascii="宋体" w:hAnsi="宋体" w:cs="宋体"/>
                <w:color w:val="000000"/>
                <w:kern w:val="0"/>
                <w:sz w:val="20"/>
                <w:szCs w:val="20"/>
              </w:rPr>
            </w:pPr>
            <w:r>
              <w:rPr>
                <w:rFonts w:hint="eastAsia" w:ascii="宋体" w:hAnsi="宋体" w:cs="宋体"/>
                <w:color w:val="000000"/>
                <w:kern w:val="0"/>
                <w:sz w:val="20"/>
                <w:szCs w:val="20"/>
              </w:rPr>
              <w:t>锡林郭勒盟农牧局（部门）</w:t>
            </w:r>
          </w:p>
        </w:tc>
        <w:tc>
          <w:tcPr>
            <w:tcW w:w="820" w:type="pct"/>
            <w:gridSpan w:val="3"/>
            <w:shd w:val="clear" w:color="auto" w:fill="auto"/>
            <w:vAlign w:val="center"/>
          </w:tcPr>
          <w:p w14:paraId="7CD88F1F">
            <w:pPr>
              <w:widowControl/>
              <w:jc w:val="left"/>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1628" w:type="pct"/>
            <w:gridSpan w:val="7"/>
            <w:shd w:val="clear" w:color="auto" w:fill="auto"/>
            <w:vAlign w:val="center"/>
          </w:tcPr>
          <w:p w14:paraId="3AA5A701">
            <w:pPr>
              <w:widowControl/>
              <w:jc w:val="left"/>
              <w:rPr>
                <w:rFonts w:ascii="宋体" w:hAnsi="宋体" w:cs="宋体"/>
                <w:color w:val="000000"/>
                <w:kern w:val="0"/>
                <w:sz w:val="20"/>
                <w:szCs w:val="20"/>
              </w:rPr>
            </w:pPr>
            <w:r>
              <w:rPr>
                <w:rFonts w:hint="eastAsia" w:ascii="宋体" w:hAnsi="宋体" w:cs="宋体"/>
                <w:color w:val="000000"/>
                <w:kern w:val="0"/>
                <w:sz w:val="20"/>
                <w:szCs w:val="20"/>
              </w:rPr>
              <w:t>锡林郭勒盟农牧局</w:t>
            </w:r>
          </w:p>
        </w:tc>
      </w:tr>
      <w:tr w14:paraId="3DD6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2" w:type="pct"/>
            <w:gridSpan w:val="2"/>
            <w:vMerge w:val="restart"/>
            <w:shd w:val="clear" w:color="auto" w:fill="auto"/>
            <w:vAlign w:val="center"/>
          </w:tcPr>
          <w:p w14:paraId="38E97B4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616" w:type="pct"/>
            <w:gridSpan w:val="2"/>
            <w:shd w:val="clear" w:color="auto" w:fill="auto"/>
            <w:vAlign w:val="center"/>
          </w:tcPr>
          <w:p w14:paraId="27C1D18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0" w:type="pct"/>
            <w:gridSpan w:val="2"/>
            <w:shd w:val="clear" w:color="auto" w:fill="auto"/>
            <w:vAlign w:val="center"/>
          </w:tcPr>
          <w:p w14:paraId="7217D1BB">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814" w:type="pct"/>
            <w:gridSpan w:val="3"/>
            <w:shd w:val="clear" w:color="auto" w:fill="auto"/>
            <w:vAlign w:val="center"/>
          </w:tcPr>
          <w:p w14:paraId="56F04680">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820" w:type="pct"/>
            <w:gridSpan w:val="3"/>
            <w:shd w:val="clear" w:color="auto" w:fill="auto"/>
            <w:vAlign w:val="center"/>
          </w:tcPr>
          <w:p w14:paraId="474C7FC9">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403" w:type="pct"/>
            <w:gridSpan w:val="2"/>
            <w:shd w:val="clear" w:color="auto" w:fill="auto"/>
            <w:vAlign w:val="center"/>
          </w:tcPr>
          <w:p w14:paraId="00BBF23F">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824" w:type="pct"/>
            <w:gridSpan w:val="4"/>
            <w:shd w:val="clear" w:color="auto" w:fill="auto"/>
            <w:vAlign w:val="center"/>
          </w:tcPr>
          <w:p w14:paraId="16BE0786">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401" w:type="pct"/>
            <w:shd w:val="clear" w:color="auto" w:fill="auto"/>
            <w:vAlign w:val="center"/>
          </w:tcPr>
          <w:p w14:paraId="14C8E80D">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699F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2" w:type="pct"/>
            <w:gridSpan w:val="2"/>
            <w:vMerge w:val="continue"/>
            <w:vAlign w:val="center"/>
          </w:tcPr>
          <w:p w14:paraId="6BCAEFA2">
            <w:pPr>
              <w:widowControl/>
              <w:jc w:val="left"/>
              <w:rPr>
                <w:rFonts w:ascii="宋体" w:hAnsi="宋体" w:cs="宋体"/>
                <w:color w:val="000000"/>
                <w:kern w:val="0"/>
                <w:sz w:val="20"/>
                <w:szCs w:val="20"/>
              </w:rPr>
            </w:pPr>
          </w:p>
        </w:tc>
        <w:tc>
          <w:tcPr>
            <w:tcW w:w="616" w:type="pct"/>
            <w:gridSpan w:val="2"/>
            <w:shd w:val="clear" w:color="auto" w:fill="auto"/>
            <w:vAlign w:val="center"/>
          </w:tcPr>
          <w:p w14:paraId="54334AE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410" w:type="pct"/>
            <w:gridSpan w:val="2"/>
            <w:shd w:val="clear" w:color="auto" w:fill="auto"/>
            <w:vAlign w:val="center"/>
          </w:tcPr>
          <w:p w14:paraId="5A5D7F57">
            <w:pPr>
              <w:widowControl/>
              <w:jc w:val="left"/>
              <w:rPr>
                <w:rFonts w:ascii="宋体" w:hAnsi="宋体" w:cs="宋体"/>
                <w:color w:val="000000"/>
                <w:kern w:val="0"/>
                <w:sz w:val="20"/>
                <w:szCs w:val="20"/>
              </w:rPr>
            </w:pPr>
            <w:r>
              <w:rPr>
                <w:rFonts w:hint="eastAsia" w:ascii="宋体" w:hAnsi="宋体" w:cs="宋体"/>
                <w:color w:val="000000"/>
                <w:kern w:val="0"/>
                <w:sz w:val="20"/>
                <w:szCs w:val="20"/>
              </w:rPr>
              <w:t>191.99</w:t>
            </w:r>
          </w:p>
        </w:tc>
        <w:tc>
          <w:tcPr>
            <w:tcW w:w="814" w:type="pct"/>
            <w:gridSpan w:val="3"/>
            <w:shd w:val="clear" w:color="auto" w:fill="auto"/>
            <w:vAlign w:val="center"/>
          </w:tcPr>
          <w:p w14:paraId="7B483088">
            <w:pPr>
              <w:widowControl/>
              <w:jc w:val="center"/>
              <w:rPr>
                <w:rFonts w:ascii="宋体" w:hAnsi="宋体" w:cs="宋体"/>
                <w:color w:val="000000"/>
                <w:kern w:val="0"/>
                <w:sz w:val="20"/>
                <w:szCs w:val="20"/>
              </w:rPr>
            </w:pPr>
            <w:r>
              <w:rPr>
                <w:rFonts w:hint="eastAsia" w:ascii="宋体" w:hAnsi="宋体" w:cs="宋体"/>
                <w:color w:val="000000"/>
                <w:kern w:val="0"/>
                <w:sz w:val="20"/>
                <w:szCs w:val="20"/>
              </w:rPr>
              <w:t>191.99</w:t>
            </w:r>
          </w:p>
        </w:tc>
        <w:tc>
          <w:tcPr>
            <w:tcW w:w="820" w:type="pct"/>
            <w:gridSpan w:val="3"/>
            <w:shd w:val="clear" w:color="auto" w:fill="auto"/>
            <w:vAlign w:val="center"/>
          </w:tcPr>
          <w:p w14:paraId="1F75FD6C">
            <w:pPr>
              <w:widowControl/>
              <w:jc w:val="center"/>
              <w:rPr>
                <w:rFonts w:ascii="宋体" w:hAnsi="宋体" w:cs="宋体"/>
                <w:color w:val="000000"/>
                <w:kern w:val="0"/>
                <w:sz w:val="20"/>
                <w:szCs w:val="20"/>
              </w:rPr>
            </w:pPr>
            <w:r>
              <w:rPr>
                <w:rFonts w:hint="eastAsia" w:ascii="宋体" w:hAnsi="宋体" w:cs="宋体"/>
                <w:color w:val="000000"/>
                <w:kern w:val="0"/>
                <w:sz w:val="20"/>
                <w:szCs w:val="20"/>
              </w:rPr>
              <w:t>191.99</w:t>
            </w:r>
          </w:p>
        </w:tc>
        <w:tc>
          <w:tcPr>
            <w:tcW w:w="403" w:type="pct"/>
            <w:gridSpan w:val="2"/>
            <w:shd w:val="clear" w:color="auto" w:fill="auto"/>
            <w:vAlign w:val="center"/>
          </w:tcPr>
          <w:p w14:paraId="23BE218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4" w:type="pct"/>
            <w:gridSpan w:val="4"/>
            <w:shd w:val="clear" w:color="auto" w:fill="auto"/>
            <w:vAlign w:val="center"/>
          </w:tcPr>
          <w:p w14:paraId="0B30721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401" w:type="pct"/>
            <w:shd w:val="clear" w:color="auto" w:fill="auto"/>
            <w:vAlign w:val="center"/>
          </w:tcPr>
          <w:p w14:paraId="473CAAB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14:paraId="7F3F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2" w:type="pct"/>
            <w:gridSpan w:val="2"/>
            <w:vMerge w:val="continue"/>
            <w:vAlign w:val="center"/>
          </w:tcPr>
          <w:p w14:paraId="31BB31B2">
            <w:pPr>
              <w:widowControl/>
              <w:jc w:val="left"/>
              <w:rPr>
                <w:rFonts w:ascii="宋体" w:hAnsi="宋体" w:cs="宋体"/>
                <w:color w:val="000000"/>
                <w:kern w:val="0"/>
                <w:sz w:val="20"/>
                <w:szCs w:val="20"/>
              </w:rPr>
            </w:pPr>
          </w:p>
        </w:tc>
        <w:tc>
          <w:tcPr>
            <w:tcW w:w="616" w:type="pct"/>
            <w:gridSpan w:val="2"/>
            <w:shd w:val="clear" w:color="auto" w:fill="auto"/>
            <w:vAlign w:val="center"/>
          </w:tcPr>
          <w:p w14:paraId="3A512873">
            <w:pPr>
              <w:widowControl/>
              <w:jc w:val="left"/>
              <w:rPr>
                <w:rFonts w:ascii="宋体" w:hAnsi="宋体" w:cs="宋体"/>
                <w:color w:val="000000"/>
                <w:kern w:val="0"/>
                <w:sz w:val="20"/>
                <w:szCs w:val="20"/>
              </w:rPr>
            </w:pPr>
            <w:r>
              <w:rPr>
                <w:rFonts w:hint="eastAsia" w:ascii="宋体" w:hAnsi="宋体" w:cs="宋体"/>
                <w:color w:val="000000"/>
                <w:kern w:val="0"/>
                <w:sz w:val="20"/>
                <w:szCs w:val="20"/>
              </w:rPr>
              <w:t>其中：财政拨款</w:t>
            </w:r>
          </w:p>
        </w:tc>
        <w:tc>
          <w:tcPr>
            <w:tcW w:w="410" w:type="pct"/>
            <w:gridSpan w:val="2"/>
            <w:shd w:val="clear" w:color="auto" w:fill="auto"/>
            <w:vAlign w:val="center"/>
          </w:tcPr>
          <w:p w14:paraId="338C2352">
            <w:pPr>
              <w:widowControl/>
              <w:jc w:val="left"/>
              <w:rPr>
                <w:rFonts w:ascii="宋体" w:hAnsi="宋体" w:cs="宋体"/>
                <w:color w:val="000000"/>
                <w:kern w:val="0"/>
                <w:sz w:val="20"/>
                <w:szCs w:val="20"/>
              </w:rPr>
            </w:pPr>
            <w:r>
              <w:rPr>
                <w:rFonts w:hint="eastAsia" w:ascii="宋体" w:hAnsi="宋体" w:cs="宋体"/>
                <w:color w:val="000000"/>
                <w:kern w:val="0"/>
                <w:sz w:val="20"/>
                <w:szCs w:val="20"/>
              </w:rPr>
              <w:t>191.99</w:t>
            </w:r>
          </w:p>
        </w:tc>
        <w:tc>
          <w:tcPr>
            <w:tcW w:w="814" w:type="pct"/>
            <w:gridSpan w:val="3"/>
            <w:shd w:val="clear" w:color="auto" w:fill="auto"/>
            <w:vAlign w:val="center"/>
          </w:tcPr>
          <w:p w14:paraId="20071136">
            <w:pPr>
              <w:widowControl/>
              <w:jc w:val="center"/>
              <w:rPr>
                <w:rFonts w:ascii="宋体" w:hAnsi="宋体" w:cs="宋体"/>
                <w:color w:val="000000"/>
                <w:kern w:val="0"/>
                <w:sz w:val="20"/>
                <w:szCs w:val="20"/>
              </w:rPr>
            </w:pPr>
            <w:r>
              <w:rPr>
                <w:rFonts w:hint="eastAsia" w:ascii="宋体" w:hAnsi="宋体" w:cs="宋体"/>
                <w:color w:val="000000"/>
                <w:kern w:val="0"/>
                <w:sz w:val="20"/>
                <w:szCs w:val="20"/>
              </w:rPr>
              <w:t>191.99</w:t>
            </w:r>
          </w:p>
        </w:tc>
        <w:tc>
          <w:tcPr>
            <w:tcW w:w="820" w:type="pct"/>
            <w:gridSpan w:val="3"/>
            <w:shd w:val="clear" w:color="auto" w:fill="auto"/>
            <w:vAlign w:val="center"/>
          </w:tcPr>
          <w:p w14:paraId="44AD460D">
            <w:pPr>
              <w:widowControl/>
              <w:jc w:val="center"/>
              <w:rPr>
                <w:rFonts w:ascii="宋体" w:hAnsi="宋体" w:cs="宋体"/>
                <w:color w:val="000000"/>
                <w:kern w:val="0"/>
                <w:sz w:val="20"/>
                <w:szCs w:val="20"/>
              </w:rPr>
            </w:pPr>
            <w:r>
              <w:rPr>
                <w:rFonts w:hint="eastAsia" w:ascii="宋体" w:hAnsi="宋体" w:cs="宋体"/>
                <w:color w:val="000000"/>
                <w:kern w:val="0"/>
                <w:sz w:val="20"/>
                <w:szCs w:val="20"/>
              </w:rPr>
              <w:t>191.99</w:t>
            </w:r>
          </w:p>
        </w:tc>
        <w:tc>
          <w:tcPr>
            <w:tcW w:w="403" w:type="pct"/>
            <w:gridSpan w:val="2"/>
            <w:shd w:val="clear" w:color="auto" w:fill="auto"/>
            <w:noWrap/>
            <w:vAlign w:val="center"/>
          </w:tcPr>
          <w:p w14:paraId="0FB56638">
            <w:pPr>
              <w:widowControl/>
              <w:jc w:val="center"/>
              <w:rPr>
                <w:rFonts w:ascii="Arial" w:hAnsi="Arial" w:cs="Arial"/>
                <w:color w:val="222222"/>
                <w:kern w:val="0"/>
                <w:sz w:val="20"/>
                <w:szCs w:val="20"/>
              </w:rPr>
            </w:pPr>
            <w:r>
              <w:rPr>
                <w:rFonts w:ascii="Arial" w:hAnsi="Arial" w:cs="Arial"/>
                <w:color w:val="222222"/>
                <w:kern w:val="0"/>
                <w:sz w:val="20"/>
                <w:szCs w:val="20"/>
              </w:rPr>
              <w:t>——</w:t>
            </w:r>
          </w:p>
        </w:tc>
        <w:tc>
          <w:tcPr>
            <w:tcW w:w="824" w:type="pct"/>
            <w:gridSpan w:val="4"/>
            <w:shd w:val="clear" w:color="auto" w:fill="auto"/>
            <w:vAlign w:val="center"/>
          </w:tcPr>
          <w:p w14:paraId="7E99F410">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401" w:type="pct"/>
            <w:shd w:val="clear" w:color="auto" w:fill="auto"/>
            <w:noWrap/>
            <w:vAlign w:val="center"/>
          </w:tcPr>
          <w:p w14:paraId="61362786">
            <w:pPr>
              <w:widowControl/>
              <w:jc w:val="center"/>
              <w:rPr>
                <w:rFonts w:ascii="Arial" w:hAnsi="Arial" w:cs="Arial"/>
                <w:color w:val="222222"/>
                <w:kern w:val="0"/>
                <w:sz w:val="20"/>
                <w:szCs w:val="20"/>
              </w:rPr>
            </w:pPr>
            <w:r>
              <w:rPr>
                <w:rFonts w:ascii="Arial" w:hAnsi="Arial" w:cs="Arial"/>
                <w:color w:val="222222"/>
                <w:kern w:val="0"/>
                <w:sz w:val="20"/>
                <w:szCs w:val="20"/>
              </w:rPr>
              <w:t>——</w:t>
            </w:r>
          </w:p>
        </w:tc>
      </w:tr>
      <w:tr w14:paraId="4373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2" w:type="pct"/>
            <w:gridSpan w:val="2"/>
            <w:vMerge w:val="continue"/>
            <w:vAlign w:val="center"/>
          </w:tcPr>
          <w:p w14:paraId="7D99E74E">
            <w:pPr>
              <w:widowControl/>
              <w:jc w:val="left"/>
              <w:rPr>
                <w:rFonts w:ascii="宋体" w:hAnsi="宋体" w:cs="宋体"/>
                <w:color w:val="000000"/>
                <w:kern w:val="0"/>
                <w:sz w:val="20"/>
                <w:szCs w:val="20"/>
              </w:rPr>
            </w:pPr>
          </w:p>
        </w:tc>
        <w:tc>
          <w:tcPr>
            <w:tcW w:w="616" w:type="pct"/>
            <w:gridSpan w:val="2"/>
            <w:shd w:val="clear" w:color="auto" w:fill="auto"/>
            <w:vAlign w:val="center"/>
          </w:tcPr>
          <w:p w14:paraId="009FE1A9">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上年结转资金</w:t>
            </w:r>
          </w:p>
        </w:tc>
        <w:tc>
          <w:tcPr>
            <w:tcW w:w="410" w:type="pct"/>
            <w:gridSpan w:val="2"/>
            <w:shd w:val="clear" w:color="auto" w:fill="auto"/>
            <w:vAlign w:val="center"/>
          </w:tcPr>
          <w:p w14:paraId="4CF9970B">
            <w:pPr>
              <w:widowControl/>
              <w:jc w:val="left"/>
              <w:rPr>
                <w:rFonts w:ascii="宋体" w:hAnsi="宋体" w:cs="宋体"/>
                <w:color w:val="000000"/>
                <w:kern w:val="0"/>
                <w:sz w:val="20"/>
                <w:szCs w:val="20"/>
              </w:rPr>
            </w:pPr>
            <w:r>
              <w:rPr>
                <w:rFonts w:hint="eastAsia" w:ascii="宋体" w:hAnsi="宋体" w:cs="宋体"/>
                <w:color w:val="000000"/>
                <w:kern w:val="0"/>
                <w:sz w:val="20"/>
                <w:szCs w:val="20"/>
              </w:rPr>
              <w:t>0.00</w:t>
            </w:r>
          </w:p>
        </w:tc>
        <w:tc>
          <w:tcPr>
            <w:tcW w:w="814" w:type="pct"/>
            <w:gridSpan w:val="3"/>
            <w:shd w:val="clear" w:color="auto" w:fill="auto"/>
            <w:vAlign w:val="center"/>
          </w:tcPr>
          <w:p w14:paraId="3B8D520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pct"/>
            <w:gridSpan w:val="3"/>
            <w:shd w:val="clear" w:color="auto" w:fill="auto"/>
            <w:vAlign w:val="center"/>
          </w:tcPr>
          <w:p w14:paraId="17F5EAAE">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403" w:type="pct"/>
            <w:gridSpan w:val="2"/>
            <w:shd w:val="clear" w:color="auto" w:fill="auto"/>
            <w:noWrap/>
            <w:vAlign w:val="center"/>
          </w:tcPr>
          <w:p w14:paraId="60E71FD2">
            <w:pPr>
              <w:widowControl/>
              <w:jc w:val="center"/>
              <w:rPr>
                <w:rFonts w:ascii="Arial" w:hAnsi="Arial" w:cs="Arial"/>
                <w:color w:val="222222"/>
                <w:kern w:val="0"/>
                <w:sz w:val="20"/>
                <w:szCs w:val="20"/>
              </w:rPr>
            </w:pPr>
            <w:r>
              <w:rPr>
                <w:rFonts w:ascii="Arial" w:hAnsi="Arial" w:cs="Arial"/>
                <w:color w:val="222222"/>
                <w:kern w:val="0"/>
                <w:sz w:val="20"/>
                <w:szCs w:val="20"/>
              </w:rPr>
              <w:t>——</w:t>
            </w:r>
          </w:p>
        </w:tc>
        <w:tc>
          <w:tcPr>
            <w:tcW w:w="824" w:type="pct"/>
            <w:gridSpan w:val="4"/>
            <w:shd w:val="clear" w:color="auto" w:fill="auto"/>
            <w:vAlign w:val="center"/>
          </w:tcPr>
          <w:p w14:paraId="3C14EF6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01" w:type="pct"/>
            <w:shd w:val="clear" w:color="auto" w:fill="auto"/>
            <w:noWrap/>
            <w:vAlign w:val="center"/>
          </w:tcPr>
          <w:p w14:paraId="49F43B57">
            <w:pPr>
              <w:widowControl/>
              <w:jc w:val="center"/>
              <w:rPr>
                <w:rFonts w:ascii="Arial" w:hAnsi="Arial" w:cs="Arial"/>
                <w:color w:val="222222"/>
                <w:kern w:val="0"/>
                <w:sz w:val="20"/>
                <w:szCs w:val="20"/>
              </w:rPr>
            </w:pPr>
            <w:r>
              <w:rPr>
                <w:rFonts w:ascii="Arial" w:hAnsi="Arial" w:cs="Arial"/>
                <w:color w:val="222222"/>
                <w:kern w:val="0"/>
                <w:sz w:val="20"/>
                <w:szCs w:val="20"/>
              </w:rPr>
              <w:t>——</w:t>
            </w:r>
          </w:p>
        </w:tc>
      </w:tr>
      <w:tr w14:paraId="6BAF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2" w:type="pct"/>
            <w:gridSpan w:val="2"/>
            <w:vMerge w:val="continue"/>
            <w:vAlign w:val="center"/>
          </w:tcPr>
          <w:p w14:paraId="6C47AD64">
            <w:pPr>
              <w:widowControl/>
              <w:jc w:val="left"/>
              <w:rPr>
                <w:rFonts w:ascii="宋体" w:hAnsi="宋体" w:cs="宋体"/>
                <w:color w:val="000000"/>
                <w:kern w:val="0"/>
                <w:sz w:val="20"/>
                <w:szCs w:val="20"/>
              </w:rPr>
            </w:pPr>
          </w:p>
        </w:tc>
        <w:tc>
          <w:tcPr>
            <w:tcW w:w="616" w:type="pct"/>
            <w:gridSpan w:val="2"/>
            <w:shd w:val="clear" w:color="auto" w:fill="auto"/>
            <w:vAlign w:val="center"/>
          </w:tcPr>
          <w:p w14:paraId="0EDE1E2E">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其他资金</w:t>
            </w:r>
          </w:p>
        </w:tc>
        <w:tc>
          <w:tcPr>
            <w:tcW w:w="410" w:type="pct"/>
            <w:gridSpan w:val="2"/>
            <w:shd w:val="clear" w:color="auto" w:fill="auto"/>
            <w:vAlign w:val="center"/>
          </w:tcPr>
          <w:p w14:paraId="624753EA">
            <w:pPr>
              <w:widowControl/>
              <w:jc w:val="left"/>
              <w:rPr>
                <w:rFonts w:ascii="宋体" w:hAnsi="宋体" w:cs="宋体"/>
                <w:color w:val="000000"/>
                <w:kern w:val="0"/>
                <w:sz w:val="20"/>
                <w:szCs w:val="20"/>
              </w:rPr>
            </w:pPr>
            <w:r>
              <w:rPr>
                <w:rFonts w:hint="eastAsia" w:ascii="宋体" w:hAnsi="宋体" w:cs="宋体"/>
                <w:color w:val="000000"/>
                <w:kern w:val="0"/>
                <w:sz w:val="20"/>
                <w:szCs w:val="20"/>
              </w:rPr>
              <w:t>0.00</w:t>
            </w:r>
          </w:p>
        </w:tc>
        <w:tc>
          <w:tcPr>
            <w:tcW w:w="814" w:type="pct"/>
            <w:gridSpan w:val="3"/>
            <w:shd w:val="clear" w:color="auto" w:fill="auto"/>
            <w:vAlign w:val="center"/>
          </w:tcPr>
          <w:p w14:paraId="5E3131A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pct"/>
            <w:gridSpan w:val="3"/>
            <w:shd w:val="clear" w:color="auto" w:fill="auto"/>
            <w:vAlign w:val="center"/>
          </w:tcPr>
          <w:p w14:paraId="340B4EF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403" w:type="pct"/>
            <w:gridSpan w:val="2"/>
            <w:shd w:val="clear" w:color="auto" w:fill="auto"/>
            <w:noWrap/>
            <w:vAlign w:val="center"/>
          </w:tcPr>
          <w:p w14:paraId="7AEF8ACA">
            <w:pPr>
              <w:widowControl/>
              <w:jc w:val="center"/>
              <w:rPr>
                <w:rFonts w:ascii="Arial" w:hAnsi="Arial" w:cs="Arial"/>
                <w:color w:val="222222"/>
                <w:kern w:val="0"/>
                <w:sz w:val="20"/>
                <w:szCs w:val="20"/>
              </w:rPr>
            </w:pPr>
            <w:r>
              <w:rPr>
                <w:rFonts w:ascii="Arial" w:hAnsi="Arial" w:cs="Arial"/>
                <w:color w:val="222222"/>
                <w:kern w:val="0"/>
                <w:sz w:val="20"/>
                <w:szCs w:val="20"/>
              </w:rPr>
              <w:t>——</w:t>
            </w:r>
          </w:p>
        </w:tc>
        <w:tc>
          <w:tcPr>
            <w:tcW w:w="824" w:type="pct"/>
            <w:gridSpan w:val="4"/>
            <w:shd w:val="clear" w:color="auto" w:fill="auto"/>
            <w:vAlign w:val="center"/>
          </w:tcPr>
          <w:p w14:paraId="5011A7C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01" w:type="pct"/>
            <w:shd w:val="clear" w:color="auto" w:fill="auto"/>
            <w:noWrap/>
            <w:vAlign w:val="center"/>
          </w:tcPr>
          <w:p w14:paraId="0494C66F">
            <w:pPr>
              <w:widowControl/>
              <w:jc w:val="center"/>
              <w:rPr>
                <w:rFonts w:ascii="Arial" w:hAnsi="Arial" w:cs="Arial"/>
                <w:color w:val="222222"/>
                <w:kern w:val="0"/>
                <w:sz w:val="20"/>
                <w:szCs w:val="20"/>
              </w:rPr>
            </w:pPr>
            <w:r>
              <w:rPr>
                <w:rFonts w:ascii="Arial" w:hAnsi="Arial" w:cs="Arial"/>
                <w:color w:val="222222"/>
                <w:kern w:val="0"/>
                <w:sz w:val="20"/>
                <w:szCs w:val="20"/>
              </w:rPr>
              <w:t>——</w:t>
            </w:r>
          </w:p>
        </w:tc>
      </w:tr>
      <w:tr w14:paraId="0D2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2" w:type="pct"/>
            <w:gridSpan w:val="2"/>
            <w:vMerge w:val="restart"/>
            <w:shd w:val="clear" w:color="auto" w:fill="auto"/>
            <w:vAlign w:val="center"/>
          </w:tcPr>
          <w:p w14:paraId="672DCDA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1976" w:type="pct"/>
            <w:gridSpan w:val="8"/>
            <w:shd w:val="clear" w:color="auto" w:fill="auto"/>
            <w:vAlign w:val="center"/>
          </w:tcPr>
          <w:p w14:paraId="3343F44E">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2312" w:type="pct"/>
            <w:gridSpan w:val="9"/>
            <w:shd w:val="clear" w:color="auto" w:fill="auto"/>
            <w:vAlign w:val="center"/>
          </w:tcPr>
          <w:p w14:paraId="683825C0">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0D81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12" w:type="pct"/>
            <w:gridSpan w:val="2"/>
            <w:vMerge w:val="continue"/>
            <w:vAlign w:val="center"/>
          </w:tcPr>
          <w:p w14:paraId="13D1BC61">
            <w:pPr>
              <w:widowControl/>
              <w:jc w:val="left"/>
              <w:rPr>
                <w:rFonts w:ascii="宋体" w:hAnsi="宋体" w:cs="宋体"/>
                <w:color w:val="000000"/>
                <w:kern w:val="0"/>
                <w:sz w:val="20"/>
                <w:szCs w:val="20"/>
              </w:rPr>
            </w:pPr>
          </w:p>
        </w:tc>
        <w:tc>
          <w:tcPr>
            <w:tcW w:w="1976" w:type="pct"/>
            <w:gridSpan w:val="8"/>
            <w:shd w:val="clear" w:color="auto" w:fill="auto"/>
            <w:vAlign w:val="center"/>
          </w:tcPr>
          <w:p w14:paraId="0419EEA1">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目标1：在职职工工资、五险一金136.02万元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目标2：伤残人员护理费及退休人员工资补差、帮扶困难职工、子女助学等公益性支出费用55.97万元</w:t>
            </w:r>
          </w:p>
        </w:tc>
        <w:tc>
          <w:tcPr>
            <w:tcW w:w="2312" w:type="pct"/>
            <w:gridSpan w:val="9"/>
            <w:shd w:val="clear" w:color="auto" w:fill="auto"/>
            <w:vAlign w:val="center"/>
          </w:tcPr>
          <w:p w14:paraId="78EDB673">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关于盟饲草饲料供应站所属草场划转及职工安置有关事宜的批复》（锡署字〔2015〕42号）相关规定，支付锡盟饲草饲料供应站14名职工的工资等支出102.32万元；五险一金33.70万元；退休人员差额部分、伤残退休人员护理费、帮扶困难职工、子女助学等公益性支出费用55.97万元，合计191.99万元。</w:t>
            </w:r>
          </w:p>
        </w:tc>
      </w:tr>
      <w:tr w14:paraId="7B2A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35" w:type="pct"/>
            <w:shd w:val="clear" w:color="auto" w:fill="auto"/>
            <w:vAlign w:val="center"/>
          </w:tcPr>
          <w:p w14:paraId="0A2305F0">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377" w:type="pct"/>
            <w:shd w:val="clear" w:color="auto" w:fill="auto"/>
            <w:vAlign w:val="center"/>
          </w:tcPr>
          <w:p w14:paraId="49FDA0BD">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355" w:type="pct"/>
            <w:shd w:val="clear" w:color="auto" w:fill="auto"/>
            <w:vAlign w:val="center"/>
          </w:tcPr>
          <w:p w14:paraId="786F7765">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361" w:type="pct"/>
            <w:gridSpan w:val="2"/>
            <w:shd w:val="clear" w:color="auto" w:fill="auto"/>
            <w:vAlign w:val="center"/>
          </w:tcPr>
          <w:p w14:paraId="7C664182">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353" w:type="pct"/>
            <w:gridSpan w:val="2"/>
            <w:shd w:val="clear" w:color="auto" w:fill="auto"/>
            <w:vAlign w:val="center"/>
          </w:tcPr>
          <w:p w14:paraId="7FE0FEE9">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指标性质</w:t>
            </w:r>
          </w:p>
        </w:tc>
        <w:tc>
          <w:tcPr>
            <w:tcW w:w="352" w:type="pct"/>
            <w:shd w:val="clear" w:color="auto" w:fill="auto"/>
            <w:vAlign w:val="center"/>
          </w:tcPr>
          <w:p w14:paraId="64B5E7E1">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指标方向</w:t>
            </w:r>
          </w:p>
        </w:tc>
        <w:tc>
          <w:tcPr>
            <w:tcW w:w="555" w:type="pct"/>
            <w:gridSpan w:val="2"/>
            <w:shd w:val="clear" w:color="auto" w:fill="auto"/>
            <w:vAlign w:val="center"/>
          </w:tcPr>
          <w:p w14:paraId="580DFF3B">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570" w:type="pct"/>
            <w:shd w:val="clear" w:color="auto" w:fill="auto"/>
            <w:vAlign w:val="center"/>
          </w:tcPr>
          <w:p w14:paraId="5F510A63">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356" w:type="pct"/>
            <w:gridSpan w:val="2"/>
            <w:shd w:val="clear" w:color="auto" w:fill="auto"/>
            <w:vAlign w:val="center"/>
          </w:tcPr>
          <w:p w14:paraId="39E41205">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计量单位</w:t>
            </w:r>
          </w:p>
        </w:tc>
        <w:tc>
          <w:tcPr>
            <w:tcW w:w="356" w:type="pct"/>
            <w:gridSpan w:val="2"/>
            <w:shd w:val="clear" w:color="auto" w:fill="auto"/>
            <w:vAlign w:val="center"/>
          </w:tcPr>
          <w:p w14:paraId="1FB895A0">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17" w:type="pct"/>
            <w:shd w:val="clear" w:color="auto" w:fill="auto"/>
            <w:vAlign w:val="center"/>
          </w:tcPr>
          <w:p w14:paraId="08C023D4">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813" w:type="pct"/>
            <w:gridSpan w:val="3"/>
            <w:shd w:val="clear" w:color="auto" w:fill="auto"/>
            <w:vAlign w:val="center"/>
          </w:tcPr>
          <w:p w14:paraId="5F80DC8B">
            <w:pPr>
              <w:widowControl/>
              <w:jc w:val="left"/>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0B56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restart"/>
            <w:shd w:val="clear" w:color="auto" w:fill="auto"/>
            <w:vAlign w:val="center"/>
          </w:tcPr>
          <w:p w14:paraId="53F3DE41">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377" w:type="pct"/>
            <w:vMerge w:val="restart"/>
            <w:shd w:val="clear" w:color="auto" w:fill="auto"/>
            <w:vAlign w:val="center"/>
          </w:tcPr>
          <w:p w14:paraId="6A726AEC">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355" w:type="pct"/>
            <w:vMerge w:val="restart"/>
            <w:shd w:val="clear" w:color="auto" w:fill="auto"/>
            <w:vAlign w:val="center"/>
          </w:tcPr>
          <w:p w14:paraId="4B8C839B">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361" w:type="pct"/>
            <w:gridSpan w:val="2"/>
            <w:shd w:val="clear" w:color="auto" w:fill="auto"/>
            <w:vAlign w:val="center"/>
          </w:tcPr>
          <w:p w14:paraId="5CEC5D61">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在职职工人数</w:t>
            </w:r>
          </w:p>
        </w:tc>
        <w:tc>
          <w:tcPr>
            <w:tcW w:w="353" w:type="pct"/>
            <w:gridSpan w:val="2"/>
            <w:shd w:val="clear" w:color="auto" w:fill="auto"/>
            <w:vAlign w:val="center"/>
          </w:tcPr>
          <w:p w14:paraId="6B465CFF">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2" w:type="pct"/>
            <w:shd w:val="clear" w:color="auto" w:fill="auto"/>
            <w:vAlign w:val="center"/>
          </w:tcPr>
          <w:p w14:paraId="71A969A0">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555" w:type="pct"/>
            <w:gridSpan w:val="2"/>
            <w:shd w:val="clear" w:color="auto" w:fill="auto"/>
            <w:vAlign w:val="center"/>
          </w:tcPr>
          <w:p w14:paraId="0B943B01">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70" w:type="pct"/>
            <w:shd w:val="clear" w:color="auto" w:fill="auto"/>
            <w:vAlign w:val="center"/>
          </w:tcPr>
          <w:p w14:paraId="0D744CE1">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56" w:type="pct"/>
            <w:gridSpan w:val="2"/>
            <w:shd w:val="clear" w:color="auto" w:fill="auto"/>
            <w:vAlign w:val="center"/>
          </w:tcPr>
          <w:p w14:paraId="0CAD867D">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356" w:type="pct"/>
            <w:gridSpan w:val="2"/>
            <w:shd w:val="clear" w:color="auto" w:fill="auto"/>
            <w:vAlign w:val="center"/>
          </w:tcPr>
          <w:p w14:paraId="6121B08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56" w:type="pct"/>
            <w:gridSpan w:val="2"/>
            <w:shd w:val="clear" w:color="auto" w:fill="auto"/>
            <w:vAlign w:val="center"/>
          </w:tcPr>
          <w:p w14:paraId="21B5E4E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shd w:val="clear" w:color="auto" w:fill="auto"/>
            <w:vAlign w:val="center"/>
          </w:tcPr>
          <w:p w14:paraId="4474B89B">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其中在5月份退休2人，23年年底实有在职人数12人</w:t>
            </w:r>
          </w:p>
        </w:tc>
      </w:tr>
      <w:tr w14:paraId="7B08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54C54572">
            <w:pPr>
              <w:widowControl/>
              <w:jc w:val="left"/>
              <w:rPr>
                <w:rFonts w:ascii="宋体" w:hAnsi="宋体" w:cs="宋体"/>
                <w:color w:val="000000"/>
                <w:kern w:val="0"/>
                <w:sz w:val="20"/>
                <w:szCs w:val="20"/>
              </w:rPr>
            </w:pPr>
          </w:p>
        </w:tc>
        <w:tc>
          <w:tcPr>
            <w:tcW w:w="377" w:type="pct"/>
            <w:vMerge w:val="continue"/>
            <w:vAlign w:val="center"/>
          </w:tcPr>
          <w:p w14:paraId="6211B261">
            <w:pPr>
              <w:widowControl/>
              <w:jc w:val="left"/>
              <w:rPr>
                <w:rFonts w:ascii="宋体" w:hAnsi="宋体" w:cs="宋体"/>
                <w:color w:val="000000"/>
                <w:kern w:val="0"/>
                <w:sz w:val="20"/>
                <w:szCs w:val="20"/>
              </w:rPr>
            </w:pPr>
          </w:p>
        </w:tc>
        <w:tc>
          <w:tcPr>
            <w:tcW w:w="355" w:type="pct"/>
            <w:vMerge w:val="continue"/>
            <w:vAlign w:val="center"/>
          </w:tcPr>
          <w:p w14:paraId="71FDC4C7">
            <w:pPr>
              <w:widowControl/>
              <w:jc w:val="left"/>
              <w:rPr>
                <w:rFonts w:ascii="宋体" w:hAnsi="宋体" w:cs="宋体"/>
                <w:color w:val="000000"/>
                <w:kern w:val="0"/>
                <w:sz w:val="20"/>
                <w:szCs w:val="20"/>
              </w:rPr>
            </w:pPr>
          </w:p>
        </w:tc>
        <w:tc>
          <w:tcPr>
            <w:tcW w:w="361" w:type="pct"/>
            <w:gridSpan w:val="2"/>
            <w:shd w:val="clear" w:color="auto" w:fill="auto"/>
            <w:vAlign w:val="center"/>
          </w:tcPr>
          <w:p w14:paraId="49F84CE6">
            <w:pPr>
              <w:widowControl/>
              <w:jc w:val="center"/>
              <w:rPr>
                <w:rFonts w:ascii="宋体" w:hAnsi="宋体" w:cs="宋体"/>
                <w:color w:val="000000"/>
                <w:kern w:val="0"/>
                <w:sz w:val="20"/>
                <w:szCs w:val="20"/>
              </w:rPr>
            </w:pPr>
            <w:r>
              <w:rPr>
                <w:rFonts w:hint="eastAsia" w:ascii="宋体" w:hAnsi="宋体" w:cs="宋体"/>
                <w:color w:val="000000"/>
                <w:kern w:val="0"/>
                <w:sz w:val="20"/>
                <w:szCs w:val="20"/>
              </w:rPr>
              <w:t>退休及伤残人数和定点帮扶等人数</w:t>
            </w:r>
          </w:p>
        </w:tc>
        <w:tc>
          <w:tcPr>
            <w:tcW w:w="353" w:type="pct"/>
            <w:gridSpan w:val="2"/>
            <w:shd w:val="clear" w:color="auto" w:fill="auto"/>
            <w:vAlign w:val="center"/>
          </w:tcPr>
          <w:p w14:paraId="02E315F1">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2" w:type="pct"/>
            <w:shd w:val="clear" w:color="auto" w:fill="auto"/>
            <w:vAlign w:val="center"/>
          </w:tcPr>
          <w:p w14:paraId="2891A7BD">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555" w:type="pct"/>
            <w:gridSpan w:val="2"/>
            <w:shd w:val="clear" w:color="auto" w:fill="auto"/>
            <w:vAlign w:val="center"/>
          </w:tcPr>
          <w:p w14:paraId="207C794D">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570" w:type="pct"/>
            <w:shd w:val="clear" w:color="auto" w:fill="auto"/>
            <w:vAlign w:val="center"/>
          </w:tcPr>
          <w:p w14:paraId="12B46E32">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356" w:type="pct"/>
            <w:gridSpan w:val="2"/>
            <w:shd w:val="clear" w:color="auto" w:fill="auto"/>
            <w:vAlign w:val="center"/>
          </w:tcPr>
          <w:p w14:paraId="708D0545">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356" w:type="pct"/>
            <w:gridSpan w:val="2"/>
            <w:shd w:val="clear" w:color="auto" w:fill="auto"/>
            <w:vAlign w:val="center"/>
          </w:tcPr>
          <w:p w14:paraId="7CA8E66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56" w:type="pct"/>
            <w:gridSpan w:val="2"/>
            <w:shd w:val="clear" w:color="auto" w:fill="auto"/>
            <w:vAlign w:val="center"/>
          </w:tcPr>
          <w:p w14:paraId="08FF225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shd w:val="clear" w:color="auto" w:fill="auto"/>
            <w:vAlign w:val="center"/>
          </w:tcPr>
          <w:p w14:paraId="6B54C491">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其中在5月份退休2人，23年年底实有退休人数40人</w:t>
            </w:r>
          </w:p>
        </w:tc>
      </w:tr>
      <w:tr w14:paraId="7279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011290BA">
            <w:pPr>
              <w:widowControl/>
              <w:jc w:val="left"/>
              <w:rPr>
                <w:rFonts w:ascii="宋体" w:hAnsi="宋体" w:cs="宋体"/>
                <w:color w:val="000000"/>
                <w:kern w:val="0"/>
                <w:sz w:val="20"/>
                <w:szCs w:val="20"/>
              </w:rPr>
            </w:pPr>
          </w:p>
        </w:tc>
        <w:tc>
          <w:tcPr>
            <w:tcW w:w="377" w:type="pct"/>
            <w:vMerge w:val="continue"/>
            <w:vAlign w:val="center"/>
          </w:tcPr>
          <w:p w14:paraId="0E2CF4D2">
            <w:pPr>
              <w:widowControl/>
              <w:jc w:val="left"/>
              <w:rPr>
                <w:rFonts w:ascii="宋体" w:hAnsi="宋体" w:cs="宋体"/>
                <w:color w:val="000000"/>
                <w:kern w:val="0"/>
                <w:sz w:val="20"/>
                <w:szCs w:val="20"/>
              </w:rPr>
            </w:pPr>
          </w:p>
        </w:tc>
        <w:tc>
          <w:tcPr>
            <w:tcW w:w="355" w:type="pct"/>
            <w:shd w:val="clear" w:color="auto" w:fill="auto"/>
            <w:vAlign w:val="center"/>
          </w:tcPr>
          <w:p w14:paraId="3E5BF665">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361" w:type="pct"/>
            <w:gridSpan w:val="2"/>
            <w:shd w:val="clear" w:color="auto" w:fill="auto"/>
            <w:vAlign w:val="center"/>
          </w:tcPr>
          <w:p w14:paraId="6CDE239B">
            <w:pPr>
              <w:widowControl/>
              <w:jc w:val="center"/>
              <w:rPr>
                <w:rFonts w:ascii="宋体" w:hAnsi="宋体" w:cs="宋体"/>
                <w:color w:val="000000"/>
                <w:kern w:val="0"/>
                <w:sz w:val="20"/>
                <w:szCs w:val="20"/>
              </w:rPr>
            </w:pPr>
            <w:r>
              <w:rPr>
                <w:rFonts w:hint="eastAsia" w:ascii="宋体" w:hAnsi="宋体" w:cs="宋体"/>
                <w:color w:val="000000"/>
                <w:kern w:val="0"/>
                <w:sz w:val="20"/>
                <w:szCs w:val="20"/>
              </w:rPr>
              <w:t>发放工资及时率</w:t>
            </w:r>
          </w:p>
        </w:tc>
        <w:tc>
          <w:tcPr>
            <w:tcW w:w="353" w:type="pct"/>
            <w:gridSpan w:val="2"/>
            <w:shd w:val="clear" w:color="auto" w:fill="auto"/>
            <w:vAlign w:val="center"/>
          </w:tcPr>
          <w:p w14:paraId="047054F2">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2" w:type="pct"/>
            <w:shd w:val="clear" w:color="auto" w:fill="auto"/>
            <w:vAlign w:val="center"/>
          </w:tcPr>
          <w:p w14:paraId="50D1641B">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555" w:type="pct"/>
            <w:gridSpan w:val="2"/>
            <w:shd w:val="clear" w:color="auto" w:fill="auto"/>
            <w:vAlign w:val="center"/>
          </w:tcPr>
          <w:p w14:paraId="1768BC5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70" w:type="pct"/>
            <w:shd w:val="clear" w:color="auto" w:fill="auto"/>
            <w:vAlign w:val="center"/>
          </w:tcPr>
          <w:p w14:paraId="2C3DF37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56" w:type="pct"/>
            <w:gridSpan w:val="2"/>
            <w:shd w:val="clear" w:color="auto" w:fill="auto"/>
            <w:vAlign w:val="center"/>
          </w:tcPr>
          <w:p w14:paraId="08834AF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6" w:type="pct"/>
            <w:gridSpan w:val="2"/>
            <w:shd w:val="clear" w:color="auto" w:fill="auto"/>
            <w:vAlign w:val="center"/>
          </w:tcPr>
          <w:p w14:paraId="252AE0C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56" w:type="pct"/>
            <w:gridSpan w:val="2"/>
            <w:shd w:val="clear" w:color="auto" w:fill="auto"/>
            <w:vAlign w:val="center"/>
          </w:tcPr>
          <w:p w14:paraId="29BCD7A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shd w:val="clear" w:color="auto" w:fill="auto"/>
            <w:vAlign w:val="center"/>
          </w:tcPr>
          <w:p w14:paraId="6AE9F2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B4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26375F71">
            <w:pPr>
              <w:widowControl/>
              <w:jc w:val="left"/>
              <w:rPr>
                <w:rFonts w:ascii="宋体" w:hAnsi="宋体" w:cs="宋体"/>
                <w:color w:val="000000"/>
                <w:kern w:val="0"/>
                <w:sz w:val="20"/>
                <w:szCs w:val="20"/>
              </w:rPr>
            </w:pPr>
          </w:p>
        </w:tc>
        <w:tc>
          <w:tcPr>
            <w:tcW w:w="377" w:type="pct"/>
            <w:vMerge w:val="continue"/>
            <w:vAlign w:val="center"/>
          </w:tcPr>
          <w:p w14:paraId="52EAC5C3">
            <w:pPr>
              <w:widowControl/>
              <w:jc w:val="left"/>
              <w:rPr>
                <w:rFonts w:ascii="宋体" w:hAnsi="宋体" w:cs="宋体"/>
                <w:color w:val="000000"/>
                <w:kern w:val="0"/>
                <w:sz w:val="20"/>
                <w:szCs w:val="20"/>
              </w:rPr>
            </w:pPr>
          </w:p>
        </w:tc>
        <w:tc>
          <w:tcPr>
            <w:tcW w:w="355" w:type="pct"/>
            <w:shd w:val="clear" w:color="auto" w:fill="auto"/>
            <w:vAlign w:val="center"/>
          </w:tcPr>
          <w:p w14:paraId="2194EB60">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361" w:type="pct"/>
            <w:gridSpan w:val="2"/>
            <w:shd w:val="clear" w:color="auto" w:fill="auto"/>
            <w:vAlign w:val="center"/>
          </w:tcPr>
          <w:p w14:paraId="2842B3B5">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在职工资发放</w:t>
            </w:r>
          </w:p>
        </w:tc>
        <w:tc>
          <w:tcPr>
            <w:tcW w:w="353" w:type="pct"/>
            <w:gridSpan w:val="2"/>
            <w:shd w:val="clear" w:color="auto" w:fill="auto"/>
            <w:vAlign w:val="center"/>
          </w:tcPr>
          <w:p w14:paraId="5F15514F">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2" w:type="pct"/>
            <w:shd w:val="clear" w:color="auto" w:fill="auto"/>
            <w:vAlign w:val="center"/>
          </w:tcPr>
          <w:p w14:paraId="3897681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5" w:type="pct"/>
            <w:gridSpan w:val="2"/>
            <w:shd w:val="clear" w:color="auto" w:fill="auto"/>
            <w:vAlign w:val="center"/>
          </w:tcPr>
          <w:p w14:paraId="0902E617">
            <w:pPr>
              <w:widowControl/>
              <w:jc w:val="center"/>
              <w:rPr>
                <w:rFonts w:ascii="宋体" w:hAnsi="宋体" w:cs="宋体"/>
                <w:color w:val="000000"/>
                <w:kern w:val="0"/>
                <w:sz w:val="20"/>
                <w:szCs w:val="20"/>
              </w:rPr>
            </w:pPr>
            <w:r>
              <w:rPr>
                <w:rFonts w:hint="eastAsia" w:ascii="宋体" w:hAnsi="宋体" w:cs="宋体"/>
                <w:color w:val="000000"/>
                <w:kern w:val="0"/>
                <w:sz w:val="20"/>
                <w:szCs w:val="20"/>
              </w:rPr>
              <w:t>按月发放</w:t>
            </w:r>
          </w:p>
        </w:tc>
        <w:tc>
          <w:tcPr>
            <w:tcW w:w="570" w:type="pct"/>
            <w:shd w:val="clear" w:color="auto" w:fill="auto"/>
            <w:vAlign w:val="center"/>
          </w:tcPr>
          <w:p w14:paraId="085BB239">
            <w:pPr>
              <w:widowControl/>
              <w:jc w:val="center"/>
              <w:rPr>
                <w:rFonts w:ascii="宋体" w:hAnsi="宋体" w:cs="宋体"/>
                <w:color w:val="000000"/>
                <w:kern w:val="0"/>
                <w:sz w:val="20"/>
                <w:szCs w:val="20"/>
              </w:rPr>
            </w:pPr>
            <w:r>
              <w:rPr>
                <w:rFonts w:hint="eastAsia" w:ascii="宋体" w:hAnsi="宋体" w:cs="宋体"/>
                <w:color w:val="000000"/>
                <w:kern w:val="0"/>
                <w:sz w:val="20"/>
                <w:szCs w:val="20"/>
              </w:rPr>
              <w:t>按月发放</w:t>
            </w:r>
          </w:p>
        </w:tc>
        <w:tc>
          <w:tcPr>
            <w:tcW w:w="356" w:type="pct"/>
            <w:gridSpan w:val="2"/>
            <w:shd w:val="clear" w:color="auto" w:fill="auto"/>
            <w:vAlign w:val="center"/>
          </w:tcPr>
          <w:p w14:paraId="0B0E213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6" w:type="pct"/>
            <w:gridSpan w:val="2"/>
            <w:shd w:val="clear" w:color="auto" w:fill="auto"/>
            <w:vAlign w:val="center"/>
          </w:tcPr>
          <w:p w14:paraId="3710578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56" w:type="pct"/>
            <w:gridSpan w:val="2"/>
            <w:shd w:val="clear" w:color="auto" w:fill="auto"/>
            <w:vAlign w:val="center"/>
          </w:tcPr>
          <w:p w14:paraId="2504B04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shd w:val="clear" w:color="auto" w:fill="auto"/>
            <w:vAlign w:val="center"/>
          </w:tcPr>
          <w:p w14:paraId="2376A5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C04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69120EFA">
            <w:pPr>
              <w:widowControl/>
              <w:jc w:val="left"/>
              <w:rPr>
                <w:rFonts w:ascii="宋体" w:hAnsi="宋体" w:cs="宋体"/>
                <w:color w:val="000000"/>
                <w:kern w:val="0"/>
                <w:sz w:val="20"/>
                <w:szCs w:val="20"/>
              </w:rPr>
            </w:pPr>
          </w:p>
        </w:tc>
        <w:tc>
          <w:tcPr>
            <w:tcW w:w="377" w:type="pct"/>
            <w:vMerge w:val="continue"/>
            <w:vAlign w:val="center"/>
          </w:tcPr>
          <w:p w14:paraId="613C2E65">
            <w:pPr>
              <w:widowControl/>
              <w:jc w:val="left"/>
              <w:rPr>
                <w:rFonts w:ascii="宋体" w:hAnsi="宋体" w:cs="宋体"/>
                <w:color w:val="000000"/>
                <w:kern w:val="0"/>
                <w:sz w:val="20"/>
                <w:szCs w:val="20"/>
              </w:rPr>
            </w:pPr>
          </w:p>
        </w:tc>
        <w:tc>
          <w:tcPr>
            <w:tcW w:w="355" w:type="pct"/>
            <w:shd w:val="clear" w:color="auto" w:fill="auto"/>
            <w:vAlign w:val="center"/>
          </w:tcPr>
          <w:p w14:paraId="3E1E0FF9">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361" w:type="pct"/>
            <w:gridSpan w:val="2"/>
            <w:shd w:val="clear" w:color="auto" w:fill="auto"/>
            <w:vAlign w:val="center"/>
          </w:tcPr>
          <w:p w14:paraId="2BB16F90">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资金成本</w:t>
            </w:r>
          </w:p>
        </w:tc>
        <w:tc>
          <w:tcPr>
            <w:tcW w:w="353" w:type="pct"/>
            <w:gridSpan w:val="2"/>
            <w:shd w:val="clear" w:color="auto" w:fill="auto"/>
            <w:vAlign w:val="center"/>
          </w:tcPr>
          <w:p w14:paraId="2C388830">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2" w:type="pct"/>
            <w:shd w:val="clear" w:color="auto" w:fill="auto"/>
            <w:vAlign w:val="center"/>
          </w:tcPr>
          <w:p w14:paraId="696064AD">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555" w:type="pct"/>
            <w:gridSpan w:val="2"/>
            <w:shd w:val="clear" w:color="auto" w:fill="auto"/>
            <w:vAlign w:val="center"/>
          </w:tcPr>
          <w:p w14:paraId="6F481C4E">
            <w:pPr>
              <w:widowControl/>
              <w:jc w:val="center"/>
              <w:rPr>
                <w:rFonts w:ascii="宋体" w:hAnsi="宋体" w:cs="宋体"/>
                <w:color w:val="000000"/>
                <w:kern w:val="0"/>
                <w:sz w:val="20"/>
                <w:szCs w:val="20"/>
              </w:rPr>
            </w:pPr>
            <w:r>
              <w:rPr>
                <w:rFonts w:hint="eastAsia" w:ascii="宋体" w:hAnsi="宋体" w:cs="宋体"/>
                <w:color w:val="000000"/>
                <w:kern w:val="0"/>
                <w:sz w:val="20"/>
                <w:szCs w:val="20"/>
              </w:rPr>
              <w:t>191.99</w:t>
            </w:r>
          </w:p>
        </w:tc>
        <w:tc>
          <w:tcPr>
            <w:tcW w:w="570" w:type="pct"/>
            <w:shd w:val="clear" w:color="auto" w:fill="auto"/>
            <w:vAlign w:val="center"/>
          </w:tcPr>
          <w:p w14:paraId="518F3A12">
            <w:pPr>
              <w:widowControl/>
              <w:jc w:val="center"/>
              <w:rPr>
                <w:rFonts w:ascii="宋体" w:hAnsi="宋体" w:cs="宋体"/>
                <w:color w:val="000000"/>
                <w:kern w:val="0"/>
                <w:sz w:val="20"/>
                <w:szCs w:val="20"/>
              </w:rPr>
            </w:pPr>
            <w:r>
              <w:rPr>
                <w:rFonts w:hint="eastAsia" w:ascii="宋体" w:hAnsi="宋体" w:cs="宋体"/>
                <w:color w:val="000000"/>
                <w:kern w:val="0"/>
                <w:sz w:val="20"/>
                <w:szCs w:val="20"/>
              </w:rPr>
              <w:t>191.99</w:t>
            </w:r>
          </w:p>
        </w:tc>
        <w:tc>
          <w:tcPr>
            <w:tcW w:w="356" w:type="pct"/>
            <w:gridSpan w:val="2"/>
            <w:shd w:val="clear" w:color="auto" w:fill="auto"/>
            <w:vAlign w:val="center"/>
          </w:tcPr>
          <w:p w14:paraId="0C16A844">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356" w:type="pct"/>
            <w:gridSpan w:val="2"/>
            <w:shd w:val="clear" w:color="auto" w:fill="auto"/>
            <w:vAlign w:val="center"/>
          </w:tcPr>
          <w:p w14:paraId="30D38A8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56" w:type="pct"/>
            <w:gridSpan w:val="2"/>
            <w:shd w:val="clear" w:color="auto" w:fill="auto"/>
            <w:vAlign w:val="center"/>
          </w:tcPr>
          <w:p w14:paraId="34C5EFF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shd w:val="clear" w:color="auto" w:fill="auto"/>
            <w:vAlign w:val="center"/>
          </w:tcPr>
          <w:p w14:paraId="4554C0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F60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0A09C191">
            <w:pPr>
              <w:widowControl/>
              <w:jc w:val="left"/>
              <w:rPr>
                <w:rFonts w:ascii="宋体" w:hAnsi="宋体" w:cs="宋体"/>
                <w:color w:val="000000"/>
                <w:kern w:val="0"/>
                <w:sz w:val="20"/>
                <w:szCs w:val="20"/>
              </w:rPr>
            </w:pPr>
          </w:p>
        </w:tc>
        <w:tc>
          <w:tcPr>
            <w:tcW w:w="377" w:type="pct"/>
            <w:vMerge w:val="restart"/>
            <w:shd w:val="clear" w:color="auto" w:fill="auto"/>
            <w:vAlign w:val="center"/>
          </w:tcPr>
          <w:p w14:paraId="0C847B65">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355" w:type="pct"/>
            <w:vMerge w:val="restart"/>
            <w:shd w:val="clear" w:color="auto" w:fill="auto"/>
            <w:vAlign w:val="center"/>
          </w:tcPr>
          <w:p w14:paraId="452A2046">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361" w:type="pct"/>
            <w:gridSpan w:val="2"/>
            <w:shd w:val="clear" w:color="auto" w:fill="auto"/>
            <w:vAlign w:val="center"/>
          </w:tcPr>
          <w:p w14:paraId="7189F452">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公益性支出的经济效益</w:t>
            </w:r>
          </w:p>
        </w:tc>
        <w:tc>
          <w:tcPr>
            <w:tcW w:w="353" w:type="pct"/>
            <w:gridSpan w:val="2"/>
            <w:shd w:val="clear" w:color="auto" w:fill="auto"/>
            <w:vAlign w:val="center"/>
          </w:tcPr>
          <w:p w14:paraId="66EC56B5">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2" w:type="pct"/>
            <w:shd w:val="clear" w:color="auto" w:fill="auto"/>
            <w:vAlign w:val="center"/>
          </w:tcPr>
          <w:p w14:paraId="2A4E94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5" w:type="pct"/>
            <w:gridSpan w:val="2"/>
            <w:shd w:val="clear" w:color="auto" w:fill="auto"/>
            <w:vAlign w:val="center"/>
          </w:tcPr>
          <w:p w14:paraId="721EE7F8">
            <w:pPr>
              <w:widowControl/>
              <w:jc w:val="center"/>
              <w:rPr>
                <w:rFonts w:ascii="宋体" w:hAnsi="宋体" w:cs="宋体"/>
                <w:color w:val="000000"/>
                <w:kern w:val="0"/>
                <w:sz w:val="20"/>
                <w:szCs w:val="20"/>
              </w:rPr>
            </w:pPr>
            <w:r>
              <w:rPr>
                <w:rFonts w:hint="eastAsia" w:ascii="宋体" w:hAnsi="宋体" w:cs="宋体"/>
                <w:color w:val="000000"/>
                <w:kern w:val="0"/>
                <w:sz w:val="20"/>
                <w:szCs w:val="20"/>
              </w:rPr>
              <w:t>保障了伤残人员的护理费，在经济上给以了一定的帮助。帮扶了困难职工、子女助学问题，送温暖活动</w:t>
            </w:r>
          </w:p>
        </w:tc>
        <w:tc>
          <w:tcPr>
            <w:tcW w:w="570" w:type="pct"/>
            <w:shd w:val="clear" w:color="auto" w:fill="auto"/>
            <w:vAlign w:val="center"/>
          </w:tcPr>
          <w:p w14:paraId="2E1DD209">
            <w:pPr>
              <w:widowControl/>
              <w:jc w:val="center"/>
              <w:rPr>
                <w:rFonts w:ascii="宋体" w:hAnsi="宋体" w:cs="宋体"/>
                <w:color w:val="000000"/>
                <w:kern w:val="0"/>
                <w:sz w:val="20"/>
                <w:szCs w:val="20"/>
              </w:rPr>
            </w:pPr>
            <w:r>
              <w:rPr>
                <w:rFonts w:hint="eastAsia" w:ascii="宋体" w:hAnsi="宋体" w:cs="宋体"/>
                <w:color w:val="000000"/>
                <w:kern w:val="0"/>
                <w:sz w:val="20"/>
                <w:szCs w:val="20"/>
              </w:rPr>
              <w:t>保障了伤残人员的护理费，在经济上给以了一定的帮助。帮扶了困难职工、子女助学问题，送温暖活动</w:t>
            </w:r>
          </w:p>
        </w:tc>
        <w:tc>
          <w:tcPr>
            <w:tcW w:w="356" w:type="pct"/>
            <w:gridSpan w:val="2"/>
            <w:shd w:val="clear" w:color="auto" w:fill="auto"/>
            <w:vAlign w:val="center"/>
          </w:tcPr>
          <w:p w14:paraId="5B6448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6" w:type="pct"/>
            <w:gridSpan w:val="2"/>
            <w:shd w:val="clear" w:color="auto" w:fill="auto"/>
            <w:vAlign w:val="center"/>
          </w:tcPr>
          <w:p w14:paraId="20F31E3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56" w:type="pct"/>
            <w:gridSpan w:val="2"/>
            <w:shd w:val="clear" w:color="auto" w:fill="auto"/>
            <w:vAlign w:val="center"/>
          </w:tcPr>
          <w:p w14:paraId="2F737DE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shd w:val="clear" w:color="auto" w:fill="auto"/>
            <w:vAlign w:val="center"/>
          </w:tcPr>
          <w:p w14:paraId="1E1359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144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5F21270D">
            <w:pPr>
              <w:widowControl/>
              <w:jc w:val="left"/>
              <w:rPr>
                <w:rFonts w:ascii="宋体" w:hAnsi="宋体" w:cs="宋体"/>
                <w:color w:val="000000"/>
                <w:kern w:val="0"/>
                <w:sz w:val="20"/>
                <w:szCs w:val="20"/>
              </w:rPr>
            </w:pPr>
          </w:p>
        </w:tc>
        <w:tc>
          <w:tcPr>
            <w:tcW w:w="377" w:type="pct"/>
            <w:vMerge w:val="continue"/>
            <w:vAlign w:val="center"/>
          </w:tcPr>
          <w:p w14:paraId="45CC3FBF">
            <w:pPr>
              <w:widowControl/>
              <w:jc w:val="left"/>
              <w:rPr>
                <w:rFonts w:ascii="宋体" w:hAnsi="宋体" w:cs="宋体"/>
                <w:color w:val="000000"/>
                <w:kern w:val="0"/>
                <w:sz w:val="20"/>
                <w:szCs w:val="20"/>
              </w:rPr>
            </w:pPr>
          </w:p>
        </w:tc>
        <w:tc>
          <w:tcPr>
            <w:tcW w:w="355" w:type="pct"/>
            <w:vMerge w:val="continue"/>
            <w:vAlign w:val="center"/>
          </w:tcPr>
          <w:p w14:paraId="0DD19D4D">
            <w:pPr>
              <w:widowControl/>
              <w:jc w:val="left"/>
              <w:rPr>
                <w:rFonts w:ascii="宋体" w:hAnsi="宋体" w:cs="宋体"/>
                <w:color w:val="000000"/>
                <w:kern w:val="0"/>
                <w:sz w:val="20"/>
                <w:szCs w:val="20"/>
              </w:rPr>
            </w:pPr>
          </w:p>
        </w:tc>
        <w:tc>
          <w:tcPr>
            <w:tcW w:w="361" w:type="pct"/>
            <w:gridSpan w:val="2"/>
            <w:shd w:val="clear" w:color="auto" w:fill="auto"/>
            <w:vAlign w:val="center"/>
          </w:tcPr>
          <w:p w14:paraId="363D2679">
            <w:pPr>
              <w:widowControl/>
              <w:jc w:val="center"/>
              <w:rPr>
                <w:rFonts w:ascii="宋体" w:hAnsi="宋体" w:cs="宋体"/>
                <w:color w:val="000000"/>
                <w:kern w:val="0"/>
                <w:sz w:val="20"/>
                <w:szCs w:val="20"/>
              </w:rPr>
            </w:pPr>
            <w:r>
              <w:rPr>
                <w:rFonts w:hint="eastAsia" w:ascii="宋体" w:hAnsi="宋体" w:cs="宋体"/>
                <w:color w:val="000000"/>
                <w:kern w:val="0"/>
                <w:sz w:val="20"/>
                <w:szCs w:val="20"/>
              </w:rPr>
              <w:t>发放职工工资缴纳五险一金社会影响</w:t>
            </w:r>
          </w:p>
        </w:tc>
        <w:tc>
          <w:tcPr>
            <w:tcW w:w="353" w:type="pct"/>
            <w:gridSpan w:val="2"/>
            <w:shd w:val="clear" w:color="auto" w:fill="auto"/>
            <w:vAlign w:val="center"/>
          </w:tcPr>
          <w:p w14:paraId="4E93A5C5">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2" w:type="pct"/>
            <w:shd w:val="clear" w:color="auto" w:fill="auto"/>
            <w:vAlign w:val="center"/>
          </w:tcPr>
          <w:p w14:paraId="3FEAF8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5" w:type="pct"/>
            <w:gridSpan w:val="2"/>
            <w:shd w:val="clear" w:color="auto" w:fill="auto"/>
            <w:vAlign w:val="center"/>
          </w:tcPr>
          <w:p w14:paraId="1D047537">
            <w:pPr>
              <w:widowControl/>
              <w:jc w:val="center"/>
              <w:rPr>
                <w:rFonts w:ascii="宋体" w:hAnsi="宋体" w:cs="宋体"/>
                <w:color w:val="000000"/>
                <w:kern w:val="0"/>
                <w:sz w:val="20"/>
                <w:szCs w:val="20"/>
              </w:rPr>
            </w:pPr>
            <w:r>
              <w:rPr>
                <w:rFonts w:hint="eastAsia" w:ascii="宋体" w:hAnsi="宋体" w:cs="宋体"/>
                <w:color w:val="000000"/>
                <w:kern w:val="0"/>
                <w:sz w:val="20"/>
                <w:szCs w:val="20"/>
              </w:rPr>
              <w:t>职工生活有保障。保障率70%，养老、医疗率65%</w:t>
            </w:r>
          </w:p>
        </w:tc>
        <w:tc>
          <w:tcPr>
            <w:tcW w:w="570" w:type="pct"/>
            <w:shd w:val="clear" w:color="auto" w:fill="auto"/>
            <w:vAlign w:val="center"/>
          </w:tcPr>
          <w:p w14:paraId="75D0C531">
            <w:pPr>
              <w:widowControl/>
              <w:jc w:val="center"/>
              <w:rPr>
                <w:rFonts w:ascii="宋体" w:hAnsi="宋体" w:cs="宋体"/>
                <w:color w:val="000000"/>
                <w:kern w:val="0"/>
                <w:sz w:val="20"/>
                <w:szCs w:val="20"/>
              </w:rPr>
            </w:pPr>
            <w:r>
              <w:rPr>
                <w:rFonts w:hint="eastAsia" w:ascii="宋体" w:hAnsi="宋体" w:cs="宋体"/>
                <w:color w:val="000000"/>
                <w:kern w:val="0"/>
                <w:sz w:val="20"/>
                <w:szCs w:val="20"/>
              </w:rPr>
              <w:t>保障了职工生活</w:t>
            </w:r>
          </w:p>
        </w:tc>
        <w:tc>
          <w:tcPr>
            <w:tcW w:w="356" w:type="pct"/>
            <w:gridSpan w:val="2"/>
            <w:shd w:val="clear" w:color="auto" w:fill="auto"/>
            <w:vAlign w:val="center"/>
          </w:tcPr>
          <w:p w14:paraId="3FE9F8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6" w:type="pct"/>
            <w:gridSpan w:val="2"/>
            <w:shd w:val="clear" w:color="auto" w:fill="auto"/>
            <w:vAlign w:val="center"/>
          </w:tcPr>
          <w:p w14:paraId="613DECD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56" w:type="pct"/>
            <w:gridSpan w:val="2"/>
            <w:shd w:val="clear" w:color="auto" w:fill="auto"/>
            <w:vAlign w:val="center"/>
          </w:tcPr>
          <w:p w14:paraId="5CEE4E9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4" w:type="pct"/>
            <w:gridSpan w:val="2"/>
            <w:shd w:val="clear" w:color="auto" w:fill="auto"/>
            <w:vAlign w:val="center"/>
          </w:tcPr>
          <w:p w14:paraId="109941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5E0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7A1BE947">
            <w:pPr>
              <w:widowControl/>
              <w:jc w:val="left"/>
              <w:rPr>
                <w:rFonts w:ascii="宋体" w:hAnsi="宋体" w:cs="宋体"/>
                <w:color w:val="000000"/>
                <w:kern w:val="0"/>
                <w:sz w:val="20"/>
                <w:szCs w:val="20"/>
              </w:rPr>
            </w:pPr>
          </w:p>
        </w:tc>
        <w:tc>
          <w:tcPr>
            <w:tcW w:w="377" w:type="pct"/>
            <w:vMerge w:val="continue"/>
            <w:vAlign w:val="center"/>
          </w:tcPr>
          <w:p w14:paraId="36662296">
            <w:pPr>
              <w:widowControl/>
              <w:jc w:val="left"/>
              <w:rPr>
                <w:rFonts w:ascii="宋体" w:hAnsi="宋体" w:cs="宋体"/>
                <w:color w:val="000000"/>
                <w:kern w:val="0"/>
                <w:sz w:val="20"/>
                <w:szCs w:val="20"/>
              </w:rPr>
            </w:pPr>
          </w:p>
        </w:tc>
        <w:tc>
          <w:tcPr>
            <w:tcW w:w="355" w:type="pct"/>
            <w:shd w:val="clear" w:color="auto" w:fill="auto"/>
            <w:vAlign w:val="center"/>
          </w:tcPr>
          <w:p w14:paraId="49ADB498">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361" w:type="pct"/>
            <w:gridSpan w:val="2"/>
            <w:shd w:val="clear" w:color="auto" w:fill="auto"/>
            <w:vAlign w:val="center"/>
          </w:tcPr>
          <w:p w14:paraId="479C8677">
            <w:pPr>
              <w:widowControl/>
              <w:jc w:val="center"/>
              <w:rPr>
                <w:rFonts w:ascii="宋体" w:hAnsi="宋体" w:cs="宋体"/>
                <w:color w:val="000000"/>
                <w:kern w:val="0"/>
                <w:sz w:val="20"/>
                <w:szCs w:val="20"/>
              </w:rPr>
            </w:pPr>
            <w:r>
              <w:rPr>
                <w:rFonts w:hint="eastAsia" w:ascii="宋体" w:hAnsi="宋体" w:cs="宋体"/>
                <w:color w:val="000000"/>
                <w:kern w:val="0"/>
                <w:sz w:val="20"/>
                <w:szCs w:val="20"/>
              </w:rPr>
              <w:t>产生的社会影响</w:t>
            </w:r>
          </w:p>
        </w:tc>
        <w:tc>
          <w:tcPr>
            <w:tcW w:w="353" w:type="pct"/>
            <w:gridSpan w:val="2"/>
            <w:shd w:val="clear" w:color="auto" w:fill="auto"/>
            <w:vAlign w:val="center"/>
          </w:tcPr>
          <w:p w14:paraId="03FFB8D8">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2" w:type="pct"/>
            <w:shd w:val="clear" w:color="auto" w:fill="auto"/>
            <w:vAlign w:val="center"/>
          </w:tcPr>
          <w:p w14:paraId="63E52E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55" w:type="pct"/>
            <w:gridSpan w:val="2"/>
            <w:shd w:val="clear" w:color="auto" w:fill="auto"/>
            <w:vAlign w:val="center"/>
          </w:tcPr>
          <w:p w14:paraId="3BA082E0">
            <w:pPr>
              <w:widowControl/>
              <w:jc w:val="center"/>
              <w:rPr>
                <w:rFonts w:ascii="宋体" w:hAnsi="宋体" w:cs="宋体"/>
                <w:color w:val="000000"/>
                <w:kern w:val="0"/>
                <w:sz w:val="20"/>
                <w:szCs w:val="20"/>
              </w:rPr>
            </w:pPr>
            <w:r>
              <w:rPr>
                <w:rFonts w:hint="eastAsia" w:ascii="宋体" w:hAnsi="宋体" w:cs="宋体"/>
                <w:color w:val="000000"/>
                <w:kern w:val="0"/>
                <w:sz w:val="20"/>
                <w:szCs w:val="20"/>
              </w:rPr>
              <w:t>提高了职工幸福指数和社会和谐指数</w:t>
            </w:r>
          </w:p>
        </w:tc>
        <w:tc>
          <w:tcPr>
            <w:tcW w:w="570" w:type="pct"/>
            <w:shd w:val="clear" w:color="auto" w:fill="auto"/>
            <w:vAlign w:val="center"/>
          </w:tcPr>
          <w:p w14:paraId="0D24EA33">
            <w:pPr>
              <w:widowControl/>
              <w:jc w:val="center"/>
              <w:rPr>
                <w:rFonts w:ascii="宋体" w:hAnsi="宋体" w:cs="宋体"/>
                <w:color w:val="000000"/>
                <w:kern w:val="0"/>
                <w:sz w:val="20"/>
                <w:szCs w:val="20"/>
              </w:rPr>
            </w:pPr>
            <w:r>
              <w:rPr>
                <w:rFonts w:hint="eastAsia" w:ascii="宋体" w:hAnsi="宋体" w:cs="宋体"/>
                <w:color w:val="000000"/>
                <w:kern w:val="0"/>
                <w:sz w:val="20"/>
                <w:szCs w:val="20"/>
              </w:rPr>
              <w:t>提高了职工幸福指数和社会和谐指数</w:t>
            </w:r>
          </w:p>
        </w:tc>
        <w:tc>
          <w:tcPr>
            <w:tcW w:w="356" w:type="pct"/>
            <w:gridSpan w:val="2"/>
            <w:shd w:val="clear" w:color="auto" w:fill="auto"/>
            <w:vAlign w:val="center"/>
          </w:tcPr>
          <w:p w14:paraId="3C74BD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6" w:type="pct"/>
            <w:gridSpan w:val="2"/>
            <w:shd w:val="clear" w:color="auto" w:fill="auto"/>
            <w:vAlign w:val="center"/>
          </w:tcPr>
          <w:p w14:paraId="2AD5A7E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56" w:type="pct"/>
            <w:gridSpan w:val="2"/>
            <w:shd w:val="clear" w:color="auto" w:fill="auto"/>
            <w:vAlign w:val="center"/>
          </w:tcPr>
          <w:p w14:paraId="7C32B3C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74" w:type="pct"/>
            <w:gridSpan w:val="2"/>
            <w:shd w:val="clear" w:color="auto" w:fill="auto"/>
            <w:vAlign w:val="center"/>
          </w:tcPr>
          <w:p w14:paraId="624FCA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021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45370CD0">
            <w:pPr>
              <w:widowControl/>
              <w:jc w:val="left"/>
              <w:rPr>
                <w:rFonts w:ascii="宋体" w:hAnsi="宋体" w:cs="宋体"/>
                <w:color w:val="000000"/>
                <w:kern w:val="0"/>
                <w:sz w:val="20"/>
                <w:szCs w:val="20"/>
              </w:rPr>
            </w:pPr>
          </w:p>
        </w:tc>
        <w:tc>
          <w:tcPr>
            <w:tcW w:w="377" w:type="pct"/>
            <w:vMerge w:val="continue"/>
            <w:vAlign w:val="center"/>
          </w:tcPr>
          <w:p w14:paraId="2D950E1C">
            <w:pPr>
              <w:widowControl/>
              <w:jc w:val="left"/>
              <w:rPr>
                <w:rFonts w:ascii="宋体" w:hAnsi="宋体" w:cs="宋体"/>
                <w:color w:val="000000"/>
                <w:kern w:val="0"/>
                <w:sz w:val="20"/>
                <w:szCs w:val="20"/>
              </w:rPr>
            </w:pPr>
          </w:p>
        </w:tc>
        <w:tc>
          <w:tcPr>
            <w:tcW w:w="355" w:type="pct"/>
            <w:shd w:val="clear" w:color="auto" w:fill="auto"/>
            <w:vAlign w:val="center"/>
          </w:tcPr>
          <w:p w14:paraId="759A9922">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w:t>
            </w:r>
          </w:p>
        </w:tc>
        <w:tc>
          <w:tcPr>
            <w:tcW w:w="361" w:type="pct"/>
            <w:gridSpan w:val="2"/>
            <w:shd w:val="clear" w:color="auto" w:fill="auto"/>
            <w:vAlign w:val="center"/>
          </w:tcPr>
          <w:p w14:paraId="4A064D96">
            <w:pPr>
              <w:widowControl/>
              <w:jc w:val="center"/>
              <w:rPr>
                <w:rFonts w:ascii="宋体" w:hAnsi="宋体" w:cs="宋体"/>
                <w:color w:val="000000"/>
                <w:kern w:val="0"/>
                <w:sz w:val="20"/>
                <w:szCs w:val="20"/>
              </w:rPr>
            </w:pPr>
            <w:r>
              <w:rPr>
                <w:rFonts w:hint="eastAsia" w:ascii="宋体" w:hAnsi="宋体" w:cs="宋体"/>
                <w:color w:val="000000"/>
                <w:kern w:val="0"/>
                <w:sz w:val="20"/>
                <w:szCs w:val="20"/>
              </w:rPr>
              <w:t>产生的可持续影响</w:t>
            </w:r>
          </w:p>
        </w:tc>
        <w:tc>
          <w:tcPr>
            <w:tcW w:w="353" w:type="pct"/>
            <w:gridSpan w:val="2"/>
            <w:shd w:val="clear" w:color="auto" w:fill="auto"/>
            <w:vAlign w:val="center"/>
          </w:tcPr>
          <w:p w14:paraId="75DB7EAD">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2" w:type="pct"/>
            <w:shd w:val="clear" w:color="auto" w:fill="auto"/>
            <w:vAlign w:val="center"/>
          </w:tcPr>
          <w:p w14:paraId="205DC407">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555" w:type="pct"/>
            <w:gridSpan w:val="2"/>
            <w:shd w:val="clear" w:color="auto" w:fill="auto"/>
            <w:vAlign w:val="center"/>
          </w:tcPr>
          <w:p w14:paraId="11680C6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70" w:type="pct"/>
            <w:shd w:val="clear" w:color="auto" w:fill="auto"/>
            <w:vAlign w:val="center"/>
          </w:tcPr>
          <w:p w14:paraId="4C1EDC1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2"/>
            <w:shd w:val="clear" w:color="auto" w:fill="auto"/>
            <w:vAlign w:val="center"/>
          </w:tcPr>
          <w:p w14:paraId="056873B7">
            <w:pPr>
              <w:widowControl/>
              <w:jc w:val="center"/>
              <w:rPr>
                <w:rFonts w:ascii="宋体" w:hAnsi="宋体" w:cs="宋体"/>
                <w:color w:val="000000"/>
                <w:kern w:val="0"/>
                <w:sz w:val="20"/>
                <w:szCs w:val="20"/>
              </w:rPr>
            </w:pPr>
            <w:r>
              <w:rPr>
                <w:rFonts w:hint="eastAsia" w:ascii="宋体" w:hAnsi="宋体" w:cs="宋体"/>
                <w:color w:val="000000"/>
                <w:kern w:val="0"/>
                <w:sz w:val="20"/>
                <w:szCs w:val="20"/>
              </w:rPr>
              <w:t>年</w:t>
            </w:r>
          </w:p>
        </w:tc>
        <w:tc>
          <w:tcPr>
            <w:tcW w:w="356" w:type="pct"/>
            <w:gridSpan w:val="2"/>
            <w:shd w:val="clear" w:color="auto" w:fill="auto"/>
            <w:vAlign w:val="center"/>
          </w:tcPr>
          <w:p w14:paraId="6A4FCBF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56" w:type="pct"/>
            <w:gridSpan w:val="2"/>
            <w:shd w:val="clear" w:color="auto" w:fill="auto"/>
            <w:vAlign w:val="center"/>
          </w:tcPr>
          <w:p w14:paraId="6DFCA02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74" w:type="pct"/>
            <w:gridSpan w:val="2"/>
            <w:shd w:val="clear" w:color="auto" w:fill="auto"/>
            <w:vAlign w:val="center"/>
          </w:tcPr>
          <w:p w14:paraId="0A60F42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CA7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52504D3A">
            <w:pPr>
              <w:widowControl/>
              <w:jc w:val="left"/>
              <w:rPr>
                <w:rFonts w:ascii="宋体" w:hAnsi="宋体" w:cs="宋体"/>
                <w:color w:val="000000"/>
                <w:kern w:val="0"/>
                <w:sz w:val="20"/>
                <w:szCs w:val="20"/>
              </w:rPr>
            </w:pPr>
          </w:p>
        </w:tc>
        <w:tc>
          <w:tcPr>
            <w:tcW w:w="377" w:type="pct"/>
            <w:vMerge w:val="restart"/>
            <w:shd w:val="clear" w:color="auto" w:fill="auto"/>
            <w:vAlign w:val="center"/>
          </w:tcPr>
          <w:p w14:paraId="753534EA">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355" w:type="pct"/>
            <w:vMerge w:val="restart"/>
            <w:shd w:val="clear" w:color="auto" w:fill="auto"/>
            <w:vAlign w:val="center"/>
          </w:tcPr>
          <w:p w14:paraId="325A1084">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361" w:type="pct"/>
            <w:gridSpan w:val="2"/>
            <w:shd w:val="clear" w:color="auto" w:fill="auto"/>
            <w:vAlign w:val="center"/>
          </w:tcPr>
          <w:p w14:paraId="55153418">
            <w:pPr>
              <w:widowControl/>
              <w:jc w:val="center"/>
              <w:rPr>
                <w:rFonts w:ascii="宋体" w:hAnsi="宋体" w:cs="宋体"/>
                <w:color w:val="000000"/>
                <w:kern w:val="0"/>
                <w:sz w:val="20"/>
                <w:szCs w:val="20"/>
              </w:rPr>
            </w:pPr>
            <w:r>
              <w:rPr>
                <w:rFonts w:hint="eastAsia" w:ascii="宋体" w:hAnsi="宋体" w:cs="宋体"/>
                <w:color w:val="000000"/>
                <w:kern w:val="0"/>
                <w:sz w:val="20"/>
                <w:szCs w:val="20"/>
              </w:rPr>
              <w:t>职工满意度</w:t>
            </w:r>
          </w:p>
        </w:tc>
        <w:tc>
          <w:tcPr>
            <w:tcW w:w="353" w:type="pct"/>
            <w:gridSpan w:val="2"/>
            <w:shd w:val="clear" w:color="auto" w:fill="auto"/>
            <w:vAlign w:val="center"/>
          </w:tcPr>
          <w:p w14:paraId="2B77638D">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2" w:type="pct"/>
            <w:shd w:val="clear" w:color="auto" w:fill="auto"/>
            <w:vAlign w:val="center"/>
          </w:tcPr>
          <w:p w14:paraId="69EDA6F7">
            <w:pPr>
              <w:widowControl/>
              <w:jc w:val="center"/>
              <w:rPr>
                <w:rFonts w:ascii="宋体" w:hAnsi="宋体" w:cs="宋体"/>
                <w:color w:val="000000"/>
                <w:kern w:val="0"/>
                <w:sz w:val="20"/>
                <w:szCs w:val="20"/>
              </w:rPr>
            </w:pPr>
            <w:r>
              <w:rPr>
                <w:rFonts w:hint="eastAsia" w:ascii="宋体" w:hAnsi="宋体" w:cs="宋体"/>
                <w:color w:val="000000"/>
                <w:kern w:val="0"/>
                <w:sz w:val="20"/>
                <w:szCs w:val="20"/>
              </w:rPr>
              <w:t>大于等于</w:t>
            </w:r>
          </w:p>
        </w:tc>
        <w:tc>
          <w:tcPr>
            <w:tcW w:w="555" w:type="pct"/>
            <w:gridSpan w:val="2"/>
            <w:shd w:val="clear" w:color="auto" w:fill="auto"/>
            <w:vAlign w:val="center"/>
          </w:tcPr>
          <w:p w14:paraId="28864AAD">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570" w:type="pct"/>
            <w:shd w:val="clear" w:color="auto" w:fill="auto"/>
            <w:vAlign w:val="center"/>
          </w:tcPr>
          <w:p w14:paraId="63B03441">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356" w:type="pct"/>
            <w:gridSpan w:val="2"/>
            <w:shd w:val="clear" w:color="auto" w:fill="auto"/>
            <w:vAlign w:val="center"/>
          </w:tcPr>
          <w:p w14:paraId="6B1AAC6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6" w:type="pct"/>
            <w:gridSpan w:val="2"/>
            <w:shd w:val="clear" w:color="auto" w:fill="auto"/>
            <w:vAlign w:val="center"/>
          </w:tcPr>
          <w:p w14:paraId="3BEA143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56" w:type="pct"/>
            <w:gridSpan w:val="2"/>
            <w:shd w:val="clear" w:color="auto" w:fill="auto"/>
            <w:vAlign w:val="center"/>
          </w:tcPr>
          <w:p w14:paraId="4617F14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74" w:type="pct"/>
            <w:gridSpan w:val="2"/>
            <w:shd w:val="clear" w:color="auto" w:fill="auto"/>
            <w:vAlign w:val="center"/>
          </w:tcPr>
          <w:p w14:paraId="553028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F0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 w:type="pct"/>
            <w:vMerge w:val="continue"/>
            <w:vAlign w:val="center"/>
          </w:tcPr>
          <w:p w14:paraId="50BC1BA6">
            <w:pPr>
              <w:widowControl/>
              <w:jc w:val="left"/>
              <w:rPr>
                <w:rFonts w:ascii="宋体" w:hAnsi="宋体" w:cs="宋体"/>
                <w:color w:val="000000"/>
                <w:kern w:val="0"/>
                <w:sz w:val="20"/>
                <w:szCs w:val="20"/>
              </w:rPr>
            </w:pPr>
          </w:p>
        </w:tc>
        <w:tc>
          <w:tcPr>
            <w:tcW w:w="377" w:type="pct"/>
            <w:vMerge w:val="continue"/>
            <w:vAlign w:val="center"/>
          </w:tcPr>
          <w:p w14:paraId="2A0AD77E">
            <w:pPr>
              <w:widowControl/>
              <w:jc w:val="left"/>
              <w:rPr>
                <w:rFonts w:ascii="宋体" w:hAnsi="宋体" w:cs="宋体"/>
                <w:color w:val="000000"/>
                <w:kern w:val="0"/>
                <w:sz w:val="20"/>
                <w:szCs w:val="20"/>
              </w:rPr>
            </w:pPr>
          </w:p>
        </w:tc>
        <w:tc>
          <w:tcPr>
            <w:tcW w:w="355" w:type="pct"/>
            <w:vMerge w:val="continue"/>
            <w:vAlign w:val="center"/>
          </w:tcPr>
          <w:p w14:paraId="1F32CDFD">
            <w:pPr>
              <w:widowControl/>
              <w:jc w:val="left"/>
              <w:rPr>
                <w:rFonts w:ascii="宋体" w:hAnsi="宋体" w:cs="宋体"/>
                <w:color w:val="000000"/>
                <w:kern w:val="0"/>
                <w:sz w:val="20"/>
                <w:szCs w:val="20"/>
              </w:rPr>
            </w:pPr>
          </w:p>
        </w:tc>
        <w:tc>
          <w:tcPr>
            <w:tcW w:w="361" w:type="pct"/>
            <w:gridSpan w:val="2"/>
            <w:shd w:val="clear" w:color="auto" w:fill="auto"/>
            <w:vAlign w:val="center"/>
          </w:tcPr>
          <w:p w14:paraId="46E4E2B1">
            <w:pPr>
              <w:widowControl/>
              <w:jc w:val="center"/>
              <w:rPr>
                <w:rFonts w:ascii="宋体" w:hAnsi="宋体" w:cs="宋体"/>
                <w:color w:val="000000"/>
                <w:kern w:val="0"/>
                <w:sz w:val="20"/>
                <w:szCs w:val="20"/>
              </w:rPr>
            </w:pPr>
            <w:r>
              <w:rPr>
                <w:rFonts w:hint="eastAsia" w:ascii="宋体" w:hAnsi="宋体" w:cs="宋体"/>
                <w:color w:val="000000"/>
                <w:kern w:val="0"/>
                <w:sz w:val="20"/>
                <w:szCs w:val="20"/>
              </w:rPr>
              <w:t>帮扶对象</w:t>
            </w:r>
          </w:p>
        </w:tc>
        <w:tc>
          <w:tcPr>
            <w:tcW w:w="353" w:type="pct"/>
            <w:gridSpan w:val="2"/>
            <w:shd w:val="clear" w:color="auto" w:fill="auto"/>
            <w:vAlign w:val="center"/>
          </w:tcPr>
          <w:p w14:paraId="185EFD2A">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2" w:type="pct"/>
            <w:shd w:val="clear" w:color="auto" w:fill="auto"/>
            <w:vAlign w:val="center"/>
          </w:tcPr>
          <w:p w14:paraId="1704D1A8">
            <w:pPr>
              <w:widowControl/>
              <w:jc w:val="center"/>
              <w:rPr>
                <w:rFonts w:ascii="宋体" w:hAnsi="宋体" w:cs="宋体"/>
                <w:color w:val="000000"/>
                <w:kern w:val="0"/>
                <w:sz w:val="20"/>
                <w:szCs w:val="20"/>
              </w:rPr>
            </w:pPr>
            <w:r>
              <w:rPr>
                <w:rFonts w:hint="eastAsia" w:ascii="宋体" w:hAnsi="宋体" w:cs="宋体"/>
                <w:color w:val="000000"/>
                <w:kern w:val="0"/>
                <w:sz w:val="20"/>
                <w:szCs w:val="20"/>
              </w:rPr>
              <w:t>大于等于</w:t>
            </w:r>
          </w:p>
        </w:tc>
        <w:tc>
          <w:tcPr>
            <w:tcW w:w="555" w:type="pct"/>
            <w:gridSpan w:val="2"/>
            <w:shd w:val="clear" w:color="auto" w:fill="auto"/>
            <w:vAlign w:val="center"/>
          </w:tcPr>
          <w:p w14:paraId="31AE20B0">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570" w:type="pct"/>
            <w:shd w:val="clear" w:color="auto" w:fill="auto"/>
            <w:vAlign w:val="center"/>
          </w:tcPr>
          <w:p w14:paraId="0A88F4B8">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356" w:type="pct"/>
            <w:gridSpan w:val="2"/>
            <w:shd w:val="clear" w:color="auto" w:fill="auto"/>
            <w:vAlign w:val="center"/>
          </w:tcPr>
          <w:p w14:paraId="4E2E340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6" w:type="pct"/>
            <w:gridSpan w:val="2"/>
            <w:shd w:val="clear" w:color="auto" w:fill="auto"/>
            <w:vAlign w:val="center"/>
          </w:tcPr>
          <w:p w14:paraId="772E9FAD">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56" w:type="pct"/>
            <w:gridSpan w:val="2"/>
            <w:shd w:val="clear" w:color="auto" w:fill="auto"/>
            <w:vAlign w:val="center"/>
          </w:tcPr>
          <w:p w14:paraId="16BB36E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74" w:type="pct"/>
            <w:gridSpan w:val="2"/>
            <w:shd w:val="clear" w:color="auto" w:fill="auto"/>
            <w:vAlign w:val="center"/>
          </w:tcPr>
          <w:p w14:paraId="60A5DF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B31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14" w:type="pct"/>
            <w:gridSpan w:val="13"/>
            <w:shd w:val="clear" w:color="auto" w:fill="auto"/>
            <w:vAlign w:val="center"/>
          </w:tcPr>
          <w:p w14:paraId="3A74FB82">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356" w:type="pct"/>
            <w:gridSpan w:val="2"/>
            <w:shd w:val="clear" w:color="auto" w:fill="auto"/>
            <w:vAlign w:val="center"/>
          </w:tcPr>
          <w:p w14:paraId="49C02D1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56" w:type="pct"/>
            <w:gridSpan w:val="2"/>
            <w:shd w:val="clear" w:color="auto" w:fill="auto"/>
            <w:vAlign w:val="center"/>
          </w:tcPr>
          <w:p w14:paraId="6B56445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74" w:type="pct"/>
            <w:gridSpan w:val="2"/>
            <w:shd w:val="clear" w:color="auto" w:fill="auto"/>
            <w:vAlign w:val="center"/>
          </w:tcPr>
          <w:p w14:paraId="69A114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5C9CC16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农牧业办公经费项目自评综述：根据年初设定的绩效目标，项目自评得分99.38分。全年预算数为 40万元，执行数为38.76万元，完成预算的96.90 %。项目绩效目标完成情况：1.已按时完成自治区农牧厅和盟委行署安排部署的各项工作任务，进一步做好局机关日常运转、会议筹备、后勤服务保障等工作，我局将切实管好用好项目资金，用于培训费支出5,780.00元、差旅费120020.00元、办公费114,955.00元、其他交通费13,161.00元、委托业务费50,000.00元、租赁费19,200.00元、劳务费9,480.00元、印刷费30,000.00元、邮电费10,000.00元、会议费15,000.00元。2、严格执行财政预算支出制度，精简会议培训，压缩不必要的公出活动，达到资金使用效益率最大化。发现的主要问题及原因：</w:t>
      </w:r>
      <w:r>
        <w:rPr>
          <w:rFonts w:hint="eastAsia" w:ascii="仿宋" w:hAnsi="仿宋" w:eastAsia="仿宋" w:cs="仿宋"/>
          <w:kern w:val="0"/>
          <w:sz w:val="32"/>
          <w:szCs w:val="32"/>
          <w:lang w:eastAsia="zh-CN"/>
        </w:rPr>
        <w:t>项目未完结，结转12359.00元、上缴财政资金办公费45.00元，资金结转使用</w:t>
      </w:r>
      <w:r>
        <w:rPr>
          <w:rFonts w:hint="eastAsia" w:ascii="仿宋" w:hAnsi="仿宋" w:eastAsia="仿宋" w:cs="仿宋"/>
          <w:kern w:val="0"/>
          <w:sz w:val="32"/>
          <w:szCs w:val="32"/>
        </w:rPr>
        <w:t>。下一步改进措施：为保障农牧业工作正常运行，需结转下年使用。</w:t>
      </w:r>
    </w:p>
    <w:p w14:paraId="58CB08BE">
      <w:pPr>
        <w:widowControl/>
        <w:spacing w:before="240" w:after="240"/>
        <w:rPr>
          <w:rFonts w:hint="eastAsia" w:ascii="仿宋" w:hAnsi="仿宋" w:eastAsia="仿宋" w:cs="仿宋"/>
          <w:kern w:val="0"/>
          <w:sz w:val="32"/>
          <w:szCs w:val="32"/>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711"/>
        <w:gridCol w:w="954"/>
        <w:gridCol w:w="468"/>
        <w:gridCol w:w="791"/>
        <w:gridCol w:w="488"/>
        <w:gridCol w:w="571"/>
        <w:gridCol w:w="566"/>
        <w:gridCol w:w="715"/>
        <w:gridCol w:w="868"/>
        <w:gridCol w:w="259"/>
        <w:gridCol w:w="558"/>
        <w:gridCol w:w="157"/>
        <w:gridCol w:w="567"/>
        <w:gridCol w:w="852"/>
        <w:gridCol w:w="34"/>
        <w:gridCol w:w="1023"/>
      </w:tblGrid>
      <w:tr w14:paraId="0A74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7"/>
            <w:shd w:val="clear" w:color="auto" w:fill="auto"/>
            <w:vAlign w:val="center"/>
          </w:tcPr>
          <w:p w14:paraId="76BF67A5">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项目支出绩效自评表(2023年度）</w:t>
            </w:r>
          </w:p>
        </w:tc>
      </w:tr>
      <w:tr w14:paraId="0F96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5" w:type="pct"/>
            <w:gridSpan w:val="2"/>
            <w:shd w:val="clear" w:color="auto" w:fill="auto"/>
            <w:vAlign w:val="center"/>
          </w:tcPr>
          <w:p w14:paraId="2A382F06">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4455" w:type="pct"/>
            <w:gridSpan w:val="15"/>
            <w:shd w:val="clear" w:color="auto" w:fill="auto"/>
            <w:vAlign w:val="center"/>
          </w:tcPr>
          <w:p w14:paraId="3CC34173">
            <w:pPr>
              <w:widowControl/>
              <w:jc w:val="left"/>
              <w:rPr>
                <w:rFonts w:ascii="宋体" w:hAnsi="宋体" w:cs="宋体"/>
                <w:color w:val="000000"/>
                <w:kern w:val="0"/>
                <w:sz w:val="20"/>
                <w:szCs w:val="20"/>
              </w:rPr>
            </w:pPr>
            <w:r>
              <w:rPr>
                <w:rFonts w:hint="eastAsia" w:ascii="宋体" w:hAnsi="宋体" w:cs="宋体"/>
                <w:color w:val="000000"/>
                <w:kern w:val="0"/>
                <w:sz w:val="20"/>
                <w:szCs w:val="20"/>
              </w:rPr>
              <w:t>农牧业办公经费</w:t>
            </w:r>
          </w:p>
        </w:tc>
      </w:tr>
      <w:tr w14:paraId="1C78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5" w:type="pct"/>
            <w:gridSpan w:val="2"/>
            <w:shd w:val="clear" w:color="auto" w:fill="auto"/>
            <w:vAlign w:val="center"/>
          </w:tcPr>
          <w:p w14:paraId="0EA0BD1F">
            <w:pPr>
              <w:widowControl/>
              <w:jc w:val="left"/>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1927" w:type="pct"/>
            <w:gridSpan w:val="6"/>
            <w:shd w:val="clear" w:color="auto" w:fill="auto"/>
            <w:vAlign w:val="center"/>
          </w:tcPr>
          <w:p w14:paraId="1C6BCFF1">
            <w:pPr>
              <w:widowControl/>
              <w:jc w:val="left"/>
              <w:rPr>
                <w:rFonts w:ascii="宋体" w:hAnsi="宋体" w:cs="宋体"/>
                <w:color w:val="000000"/>
                <w:kern w:val="0"/>
                <w:sz w:val="20"/>
                <w:szCs w:val="20"/>
              </w:rPr>
            </w:pPr>
            <w:r>
              <w:rPr>
                <w:rFonts w:hint="eastAsia" w:ascii="宋体" w:hAnsi="宋体" w:cs="宋体"/>
                <w:color w:val="000000"/>
                <w:kern w:val="0"/>
                <w:sz w:val="20"/>
                <w:szCs w:val="20"/>
              </w:rPr>
              <w:t>锡林郭勒盟农牧局（部门）</w:t>
            </w:r>
          </w:p>
        </w:tc>
        <w:tc>
          <w:tcPr>
            <w:tcW w:w="795" w:type="pct"/>
            <w:gridSpan w:val="2"/>
            <w:shd w:val="clear" w:color="auto" w:fill="auto"/>
            <w:vAlign w:val="center"/>
          </w:tcPr>
          <w:p w14:paraId="20AC2005">
            <w:pPr>
              <w:widowControl/>
              <w:jc w:val="left"/>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1732" w:type="pct"/>
            <w:gridSpan w:val="7"/>
            <w:shd w:val="clear" w:color="auto" w:fill="auto"/>
            <w:vAlign w:val="center"/>
          </w:tcPr>
          <w:p w14:paraId="401F1611">
            <w:pPr>
              <w:widowControl/>
              <w:jc w:val="left"/>
              <w:rPr>
                <w:rFonts w:ascii="宋体" w:hAnsi="宋体" w:cs="宋体"/>
                <w:color w:val="000000"/>
                <w:kern w:val="0"/>
                <w:sz w:val="20"/>
                <w:szCs w:val="20"/>
              </w:rPr>
            </w:pPr>
            <w:r>
              <w:rPr>
                <w:rFonts w:hint="eastAsia" w:ascii="宋体" w:hAnsi="宋体" w:cs="宋体"/>
                <w:color w:val="000000"/>
                <w:kern w:val="0"/>
                <w:sz w:val="20"/>
                <w:szCs w:val="20"/>
              </w:rPr>
              <w:t>锡林郭勒盟农牧局</w:t>
            </w:r>
          </w:p>
        </w:tc>
      </w:tr>
      <w:tr w14:paraId="4B4D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5" w:type="pct"/>
            <w:gridSpan w:val="2"/>
            <w:vMerge w:val="restart"/>
            <w:shd w:val="clear" w:color="auto" w:fill="auto"/>
            <w:vAlign w:val="center"/>
          </w:tcPr>
          <w:p w14:paraId="3FCB7F1A">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714" w:type="pct"/>
            <w:gridSpan w:val="2"/>
            <w:shd w:val="clear" w:color="auto" w:fill="auto"/>
            <w:vAlign w:val="center"/>
          </w:tcPr>
          <w:p w14:paraId="39B5A26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97" w:type="pct"/>
            <w:shd w:val="clear" w:color="auto" w:fill="auto"/>
            <w:vAlign w:val="center"/>
          </w:tcPr>
          <w:p w14:paraId="0D3B9503">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816" w:type="pct"/>
            <w:gridSpan w:val="3"/>
            <w:shd w:val="clear" w:color="auto" w:fill="auto"/>
            <w:vAlign w:val="center"/>
          </w:tcPr>
          <w:p w14:paraId="19D9D70A">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795" w:type="pct"/>
            <w:gridSpan w:val="2"/>
            <w:shd w:val="clear" w:color="auto" w:fill="auto"/>
            <w:vAlign w:val="center"/>
          </w:tcPr>
          <w:p w14:paraId="3B70D2D0">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410" w:type="pct"/>
            <w:gridSpan w:val="2"/>
            <w:shd w:val="clear" w:color="auto" w:fill="auto"/>
            <w:vAlign w:val="center"/>
          </w:tcPr>
          <w:p w14:paraId="5D54B6B4">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809" w:type="pct"/>
            <w:gridSpan w:val="4"/>
            <w:shd w:val="clear" w:color="auto" w:fill="auto"/>
            <w:vAlign w:val="center"/>
          </w:tcPr>
          <w:p w14:paraId="1DEADC2C">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513" w:type="pct"/>
            <w:shd w:val="clear" w:color="auto" w:fill="auto"/>
            <w:vAlign w:val="center"/>
          </w:tcPr>
          <w:p w14:paraId="19D32544">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7266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5" w:type="pct"/>
            <w:gridSpan w:val="2"/>
            <w:vMerge w:val="continue"/>
            <w:vAlign w:val="center"/>
          </w:tcPr>
          <w:p w14:paraId="28440649">
            <w:pPr>
              <w:widowControl/>
              <w:jc w:val="left"/>
              <w:rPr>
                <w:rFonts w:ascii="宋体" w:hAnsi="宋体" w:cs="宋体"/>
                <w:color w:val="000000"/>
                <w:kern w:val="0"/>
                <w:sz w:val="20"/>
                <w:szCs w:val="20"/>
              </w:rPr>
            </w:pPr>
          </w:p>
        </w:tc>
        <w:tc>
          <w:tcPr>
            <w:tcW w:w="714" w:type="pct"/>
            <w:gridSpan w:val="2"/>
            <w:shd w:val="clear" w:color="auto" w:fill="auto"/>
            <w:vAlign w:val="center"/>
          </w:tcPr>
          <w:p w14:paraId="676758C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397" w:type="pct"/>
            <w:shd w:val="clear" w:color="auto" w:fill="auto"/>
            <w:vAlign w:val="center"/>
          </w:tcPr>
          <w:p w14:paraId="0D79B005">
            <w:pPr>
              <w:widowControl/>
              <w:jc w:val="left"/>
              <w:rPr>
                <w:rFonts w:ascii="宋体" w:hAnsi="宋体" w:cs="宋体"/>
                <w:color w:val="000000"/>
                <w:kern w:val="0"/>
                <w:sz w:val="20"/>
                <w:szCs w:val="20"/>
              </w:rPr>
            </w:pPr>
            <w:r>
              <w:rPr>
                <w:rFonts w:hint="eastAsia" w:ascii="宋体" w:hAnsi="宋体" w:cs="宋体"/>
                <w:color w:val="000000"/>
                <w:kern w:val="0"/>
                <w:sz w:val="20"/>
                <w:szCs w:val="20"/>
              </w:rPr>
              <w:t>40.00</w:t>
            </w:r>
          </w:p>
        </w:tc>
        <w:tc>
          <w:tcPr>
            <w:tcW w:w="816" w:type="pct"/>
            <w:gridSpan w:val="3"/>
            <w:shd w:val="clear" w:color="auto" w:fill="auto"/>
            <w:vAlign w:val="center"/>
          </w:tcPr>
          <w:p w14:paraId="6A3B155E">
            <w:pPr>
              <w:widowControl/>
              <w:jc w:val="center"/>
              <w:rPr>
                <w:rFonts w:ascii="宋体" w:hAnsi="宋体" w:cs="宋体"/>
                <w:color w:val="000000"/>
                <w:kern w:val="0"/>
                <w:sz w:val="20"/>
                <w:szCs w:val="20"/>
              </w:rPr>
            </w:pPr>
            <w:r>
              <w:rPr>
                <w:rFonts w:hint="eastAsia" w:ascii="宋体" w:hAnsi="宋体" w:cs="宋体"/>
                <w:color w:val="000000"/>
                <w:kern w:val="0"/>
                <w:sz w:val="20"/>
                <w:szCs w:val="20"/>
              </w:rPr>
              <w:t>40.00</w:t>
            </w:r>
          </w:p>
        </w:tc>
        <w:tc>
          <w:tcPr>
            <w:tcW w:w="795" w:type="pct"/>
            <w:gridSpan w:val="2"/>
            <w:shd w:val="clear" w:color="auto" w:fill="auto"/>
            <w:vAlign w:val="center"/>
          </w:tcPr>
          <w:p w14:paraId="0258B27B">
            <w:pPr>
              <w:widowControl/>
              <w:jc w:val="center"/>
              <w:rPr>
                <w:rFonts w:ascii="宋体" w:hAnsi="宋体" w:cs="宋体"/>
                <w:color w:val="000000"/>
                <w:kern w:val="0"/>
                <w:sz w:val="20"/>
                <w:szCs w:val="20"/>
              </w:rPr>
            </w:pPr>
            <w:r>
              <w:rPr>
                <w:rFonts w:hint="eastAsia" w:ascii="宋体" w:hAnsi="宋体" w:cs="宋体"/>
                <w:color w:val="000000"/>
                <w:kern w:val="0"/>
                <w:sz w:val="20"/>
                <w:szCs w:val="20"/>
              </w:rPr>
              <w:t>38.76</w:t>
            </w:r>
          </w:p>
        </w:tc>
        <w:tc>
          <w:tcPr>
            <w:tcW w:w="410" w:type="pct"/>
            <w:gridSpan w:val="2"/>
            <w:shd w:val="clear" w:color="auto" w:fill="auto"/>
            <w:vAlign w:val="center"/>
          </w:tcPr>
          <w:p w14:paraId="6108703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09" w:type="pct"/>
            <w:gridSpan w:val="4"/>
            <w:shd w:val="clear" w:color="auto" w:fill="auto"/>
            <w:vAlign w:val="center"/>
          </w:tcPr>
          <w:p w14:paraId="1B3736A0">
            <w:pPr>
              <w:widowControl/>
              <w:jc w:val="center"/>
              <w:rPr>
                <w:rFonts w:ascii="宋体" w:hAnsi="宋体" w:cs="宋体"/>
                <w:color w:val="000000"/>
                <w:kern w:val="0"/>
                <w:sz w:val="20"/>
                <w:szCs w:val="20"/>
              </w:rPr>
            </w:pPr>
            <w:r>
              <w:rPr>
                <w:rFonts w:hint="eastAsia" w:ascii="宋体" w:hAnsi="宋体" w:cs="宋体"/>
                <w:color w:val="000000"/>
                <w:kern w:val="0"/>
                <w:sz w:val="20"/>
                <w:szCs w:val="20"/>
              </w:rPr>
              <w:t>96.90</w:t>
            </w:r>
          </w:p>
        </w:tc>
        <w:tc>
          <w:tcPr>
            <w:tcW w:w="513" w:type="pct"/>
            <w:shd w:val="clear" w:color="auto" w:fill="auto"/>
            <w:vAlign w:val="center"/>
          </w:tcPr>
          <w:p w14:paraId="1481C09A">
            <w:pPr>
              <w:widowControl/>
              <w:jc w:val="center"/>
              <w:rPr>
                <w:rFonts w:ascii="宋体" w:hAnsi="宋体" w:cs="宋体"/>
                <w:color w:val="000000"/>
                <w:kern w:val="0"/>
                <w:sz w:val="20"/>
                <w:szCs w:val="20"/>
              </w:rPr>
            </w:pPr>
            <w:r>
              <w:rPr>
                <w:rFonts w:hint="eastAsia" w:ascii="宋体" w:hAnsi="宋体" w:cs="宋体"/>
                <w:color w:val="000000"/>
                <w:kern w:val="0"/>
                <w:sz w:val="20"/>
                <w:szCs w:val="20"/>
              </w:rPr>
              <w:t>9.69</w:t>
            </w:r>
          </w:p>
        </w:tc>
      </w:tr>
      <w:tr w14:paraId="1276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5" w:type="pct"/>
            <w:gridSpan w:val="2"/>
            <w:vMerge w:val="continue"/>
            <w:vAlign w:val="center"/>
          </w:tcPr>
          <w:p w14:paraId="52648B05">
            <w:pPr>
              <w:widowControl/>
              <w:jc w:val="left"/>
              <w:rPr>
                <w:rFonts w:ascii="宋体" w:hAnsi="宋体" w:cs="宋体"/>
                <w:color w:val="000000"/>
                <w:kern w:val="0"/>
                <w:sz w:val="20"/>
                <w:szCs w:val="20"/>
              </w:rPr>
            </w:pPr>
          </w:p>
        </w:tc>
        <w:tc>
          <w:tcPr>
            <w:tcW w:w="714" w:type="pct"/>
            <w:gridSpan w:val="2"/>
            <w:shd w:val="clear" w:color="auto" w:fill="auto"/>
            <w:vAlign w:val="center"/>
          </w:tcPr>
          <w:p w14:paraId="08500EE2">
            <w:pPr>
              <w:widowControl/>
              <w:jc w:val="left"/>
              <w:rPr>
                <w:rFonts w:ascii="宋体" w:hAnsi="宋体" w:cs="宋体"/>
                <w:color w:val="000000"/>
                <w:kern w:val="0"/>
                <w:sz w:val="20"/>
                <w:szCs w:val="20"/>
              </w:rPr>
            </w:pPr>
            <w:r>
              <w:rPr>
                <w:rFonts w:hint="eastAsia" w:ascii="宋体" w:hAnsi="宋体" w:cs="宋体"/>
                <w:color w:val="000000"/>
                <w:kern w:val="0"/>
                <w:sz w:val="20"/>
                <w:szCs w:val="20"/>
              </w:rPr>
              <w:t>其中：财政拨款</w:t>
            </w:r>
          </w:p>
        </w:tc>
        <w:tc>
          <w:tcPr>
            <w:tcW w:w="397" w:type="pct"/>
            <w:shd w:val="clear" w:color="auto" w:fill="auto"/>
            <w:vAlign w:val="center"/>
          </w:tcPr>
          <w:p w14:paraId="6D33A0ED">
            <w:pPr>
              <w:widowControl/>
              <w:jc w:val="left"/>
              <w:rPr>
                <w:rFonts w:ascii="宋体" w:hAnsi="宋体" w:cs="宋体"/>
                <w:color w:val="000000"/>
                <w:kern w:val="0"/>
                <w:sz w:val="20"/>
                <w:szCs w:val="20"/>
              </w:rPr>
            </w:pPr>
            <w:r>
              <w:rPr>
                <w:rFonts w:hint="eastAsia" w:ascii="宋体" w:hAnsi="宋体" w:cs="宋体"/>
                <w:color w:val="000000"/>
                <w:kern w:val="0"/>
                <w:sz w:val="20"/>
                <w:szCs w:val="20"/>
              </w:rPr>
              <w:t>40.00</w:t>
            </w:r>
          </w:p>
        </w:tc>
        <w:tc>
          <w:tcPr>
            <w:tcW w:w="816" w:type="pct"/>
            <w:gridSpan w:val="3"/>
            <w:shd w:val="clear" w:color="auto" w:fill="auto"/>
            <w:vAlign w:val="center"/>
          </w:tcPr>
          <w:p w14:paraId="1041EA09">
            <w:pPr>
              <w:widowControl/>
              <w:jc w:val="center"/>
              <w:rPr>
                <w:rFonts w:ascii="宋体" w:hAnsi="宋体" w:cs="宋体"/>
                <w:color w:val="000000"/>
                <w:kern w:val="0"/>
                <w:sz w:val="20"/>
                <w:szCs w:val="20"/>
              </w:rPr>
            </w:pPr>
            <w:r>
              <w:rPr>
                <w:rFonts w:hint="eastAsia" w:ascii="宋体" w:hAnsi="宋体" w:cs="宋体"/>
                <w:color w:val="000000"/>
                <w:kern w:val="0"/>
                <w:sz w:val="20"/>
                <w:szCs w:val="20"/>
              </w:rPr>
              <w:t>40.00</w:t>
            </w:r>
          </w:p>
        </w:tc>
        <w:tc>
          <w:tcPr>
            <w:tcW w:w="795" w:type="pct"/>
            <w:gridSpan w:val="2"/>
            <w:shd w:val="clear" w:color="auto" w:fill="auto"/>
            <w:vAlign w:val="center"/>
          </w:tcPr>
          <w:p w14:paraId="0494258A">
            <w:pPr>
              <w:widowControl/>
              <w:jc w:val="center"/>
              <w:rPr>
                <w:rFonts w:ascii="宋体" w:hAnsi="宋体" w:cs="宋体"/>
                <w:color w:val="000000"/>
                <w:kern w:val="0"/>
                <w:sz w:val="20"/>
                <w:szCs w:val="20"/>
              </w:rPr>
            </w:pPr>
            <w:r>
              <w:rPr>
                <w:rFonts w:hint="eastAsia" w:ascii="宋体" w:hAnsi="宋体" w:cs="宋体"/>
                <w:color w:val="000000"/>
                <w:kern w:val="0"/>
                <w:sz w:val="20"/>
                <w:szCs w:val="20"/>
              </w:rPr>
              <w:t>38.76</w:t>
            </w:r>
          </w:p>
        </w:tc>
        <w:tc>
          <w:tcPr>
            <w:tcW w:w="410" w:type="pct"/>
            <w:gridSpan w:val="2"/>
            <w:shd w:val="clear" w:color="auto" w:fill="auto"/>
            <w:noWrap/>
            <w:vAlign w:val="center"/>
          </w:tcPr>
          <w:p w14:paraId="249F44E6">
            <w:pPr>
              <w:widowControl/>
              <w:jc w:val="center"/>
              <w:rPr>
                <w:rFonts w:ascii="Arial" w:hAnsi="Arial" w:cs="Arial"/>
                <w:color w:val="222222"/>
                <w:kern w:val="0"/>
                <w:sz w:val="20"/>
                <w:szCs w:val="20"/>
              </w:rPr>
            </w:pPr>
            <w:r>
              <w:rPr>
                <w:rFonts w:ascii="Arial" w:hAnsi="Arial" w:cs="Arial"/>
                <w:color w:val="222222"/>
                <w:kern w:val="0"/>
                <w:sz w:val="20"/>
                <w:szCs w:val="20"/>
              </w:rPr>
              <w:t>——</w:t>
            </w:r>
          </w:p>
        </w:tc>
        <w:tc>
          <w:tcPr>
            <w:tcW w:w="809" w:type="pct"/>
            <w:gridSpan w:val="4"/>
            <w:shd w:val="clear" w:color="auto" w:fill="auto"/>
            <w:vAlign w:val="center"/>
          </w:tcPr>
          <w:p w14:paraId="25670B37">
            <w:pPr>
              <w:widowControl/>
              <w:jc w:val="center"/>
              <w:rPr>
                <w:rFonts w:ascii="宋体" w:hAnsi="宋体" w:cs="宋体"/>
                <w:color w:val="000000"/>
                <w:kern w:val="0"/>
                <w:sz w:val="20"/>
                <w:szCs w:val="20"/>
              </w:rPr>
            </w:pPr>
            <w:r>
              <w:rPr>
                <w:rFonts w:hint="eastAsia" w:ascii="宋体" w:hAnsi="宋体" w:cs="宋体"/>
                <w:color w:val="000000"/>
                <w:kern w:val="0"/>
                <w:sz w:val="20"/>
                <w:szCs w:val="20"/>
              </w:rPr>
              <w:t>96.90</w:t>
            </w:r>
          </w:p>
        </w:tc>
        <w:tc>
          <w:tcPr>
            <w:tcW w:w="513" w:type="pct"/>
            <w:shd w:val="clear" w:color="auto" w:fill="auto"/>
            <w:noWrap/>
            <w:vAlign w:val="center"/>
          </w:tcPr>
          <w:p w14:paraId="266015B5">
            <w:pPr>
              <w:widowControl/>
              <w:jc w:val="center"/>
              <w:rPr>
                <w:rFonts w:ascii="Arial" w:hAnsi="Arial" w:cs="Arial"/>
                <w:color w:val="222222"/>
                <w:kern w:val="0"/>
                <w:sz w:val="20"/>
                <w:szCs w:val="20"/>
              </w:rPr>
            </w:pPr>
            <w:r>
              <w:rPr>
                <w:rFonts w:ascii="Arial" w:hAnsi="Arial" w:cs="Arial"/>
                <w:color w:val="222222"/>
                <w:kern w:val="0"/>
                <w:sz w:val="20"/>
                <w:szCs w:val="20"/>
              </w:rPr>
              <w:t>——</w:t>
            </w:r>
          </w:p>
        </w:tc>
      </w:tr>
      <w:tr w14:paraId="5E8F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5" w:type="pct"/>
            <w:gridSpan w:val="2"/>
            <w:vMerge w:val="continue"/>
            <w:vAlign w:val="center"/>
          </w:tcPr>
          <w:p w14:paraId="27985EF3">
            <w:pPr>
              <w:widowControl/>
              <w:jc w:val="left"/>
              <w:rPr>
                <w:rFonts w:ascii="宋体" w:hAnsi="宋体" w:cs="宋体"/>
                <w:color w:val="000000"/>
                <w:kern w:val="0"/>
                <w:sz w:val="20"/>
                <w:szCs w:val="20"/>
              </w:rPr>
            </w:pPr>
          </w:p>
        </w:tc>
        <w:tc>
          <w:tcPr>
            <w:tcW w:w="714" w:type="pct"/>
            <w:gridSpan w:val="2"/>
            <w:shd w:val="clear" w:color="auto" w:fill="auto"/>
            <w:vAlign w:val="center"/>
          </w:tcPr>
          <w:p w14:paraId="3D3960AA">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上年结转资金</w:t>
            </w:r>
          </w:p>
        </w:tc>
        <w:tc>
          <w:tcPr>
            <w:tcW w:w="397" w:type="pct"/>
            <w:shd w:val="clear" w:color="auto" w:fill="auto"/>
            <w:vAlign w:val="center"/>
          </w:tcPr>
          <w:p w14:paraId="344E82E4">
            <w:pPr>
              <w:widowControl/>
              <w:jc w:val="left"/>
              <w:rPr>
                <w:rFonts w:ascii="宋体" w:hAnsi="宋体" w:cs="宋体"/>
                <w:color w:val="000000"/>
                <w:kern w:val="0"/>
                <w:sz w:val="20"/>
                <w:szCs w:val="20"/>
              </w:rPr>
            </w:pPr>
            <w:r>
              <w:rPr>
                <w:rFonts w:hint="eastAsia" w:ascii="宋体" w:hAnsi="宋体" w:cs="宋体"/>
                <w:color w:val="000000"/>
                <w:kern w:val="0"/>
                <w:sz w:val="20"/>
                <w:szCs w:val="20"/>
              </w:rPr>
              <w:t>0.00</w:t>
            </w:r>
          </w:p>
        </w:tc>
        <w:tc>
          <w:tcPr>
            <w:tcW w:w="816" w:type="pct"/>
            <w:gridSpan w:val="3"/>
            <w:shd w:val="clear" w:color="auto" w:fill="auto"/>
            <w:vAlign w:val="center"/>
          </w:tcPr>
          <w:p w14:paraId="6E5DDD9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795" w:type="pct"/>
            <w:gridSpan w:val="2"/>
            <w:shd w:val="clear" w:color="auto" w:fill="auto"/>
            <w:vAlign w:val="center"/>
          </w:tcPr>
          <w:p w14:paraId="773CA22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410" w:type="pct"/>
            <w:gridSpan w:val="2"/>
            <w:shd w:val="clear" w:color="auto" w:fill="auto"/>
            <w:noWrap/>
            <w:vAlign w:val="center"/>
          </w:tcPr>
          <w:p w14:paraId="0440561E">
            <w:pPr>
              <w:widowControl/>
              <w:jc w:val="center"/>
              <w:rPr>
                <w:rFonts w:ascii="Arial" w:hAnsi="Arial" w:cs="Arial"/>
                <w:color w:val="222222"/>
                <w:kern w:val="0"/>
                <w:sz w:val="20"/>
                <w:szCs w:val="20"/>
              </w:rPr>
            </w:pPr>
            <w:r>
              <w:rPr>
                <w:rFonts w:ascii="Arial" w:hAnsi="Arial" w:cs="Arial"/>
                <w:color w:val="222222"/>
                <w:kern w:val="0"/>
                <w:sz w:val="20"/>
                <w:szCs w:val="20"/>
              </w:rPr>
              <w:t>——</w:t>
            </w:r>
          </w:p>
        </w:tc>
        <w:tc>
          <w:tcPr>
            <w:tcW w:w="809" w:type="pct"/>
            <w:gridSpan w:val="4"/>
            <w:shd w:val="clear" w:color="auto" w:fill="auto"/>
            <w:vAlign w:val="center"/>
          </w:tcPr>
          <w:p w14:paraId="3B093B3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13" w:type="pct"/>
            <w:shd w:val="clear" w:color="auto" w:fill="auto"/>
            <w:noWrap/>
            <w:vAlign w:val="center"/>
          </w:tcPr>
          <w:p w14:paraId="6B039599">
            <w:pPr>
              <w:widowControl/>
              <w:jc w:val="center"/>
              <w:rPr>
                <w:rFonts w:ascii="Arial" w:hAnsi="Arial" w:cs="Arial"/>
                <w:color w:val="222222"/>
                <w:kern w:val="0"/>
                <w:sz w:val="20"/>
                <w:szCs w:val="20"/>
              </w:rPr>
            </w:pPr>
            <w:r>
              <w:rPr>
                <w:rFonts w:ascii="Arial" w:hAnsi="Arial" w:cs="Arial"/>
                <w:color w:val="222222"/>
                <w:kern w:val="0"/>
                <w:sz w:val="20"/>
                <w:szCs w:val="20"/>
              </w:rPr>
              <w:t>——</w:t>
            </w:r>
          </w:p>
        </w:tc>
      </w:tr>
      <w:tr w14:paraId="7A5C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5" w:type="pct"/>
            <w:gridSpan w:val="2"/>
            <w:vMerge w:val="continue"/>
            <w:vAlign w:val="center"/>
          </w:tcPr>
          <w:p w14:paraId="32691490">
            <w:pPr>
              <w:widowControl/>
              <w:jc w:val="left"/>
              <w:rPr>
                <w:rFonts w:ascii="宋体" w:hAnsi="宋体" w:cs="宋体"/>
                <w:color w:val="000000"/>
                <w:kern w:val="0"/>
                <w:sz w:val="20"/>
                <w:szCs w:val="20"/>
              </w:rPr>
            </w:pPr>
          </w:p>
        </w:tc>
        <w:tc>
          <w:tcPr>
            <w:tcW w:w="714" w:type="pct"/>
            <w:gridSpan w:val="2"/>
            <w:shd w:val="clear" w:color="auto" w:fill="auto"/>
            <w:vAlign w:val="center"/>
          </w:tcPr>
          <w:p w14:paraId="596F7A9A">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其他资金</w:t>
            </w:r>
          </w:p>
        </w:tc>
        <w:tc>
          <w:tcPr>
            <w:tcW w:w="397" w:type="pct"/>
            <w:shd w:val="clear" w:color="auto" w:fill="auto"/>
            <w:vAlign w:val="center"/>
          </w:tcPr>
          <w:p w14:paraId="7D06FAF6">
            <w:pPr>
              <w:widowControl/>
              <w:jc w:val="left"/>
              <w:rPr>
                <w:rFonts w:ascii="宋体" w:hAnsi="宋体" w:cs="宋体"/>
                <w:color w:val="000000"/>
                <w:kern w:val="0"/>
                <w:sz w:val="20"/>
                <w:szCs w:val="20"/>
              </w:rPr>
            </w:pPr>
            <w:r>
              <w:rPr>
                <w:rFonts w:hint="eastAsia" w:ascii="宋体" w:hAnsi="宋体" w:cs="宋体"/>
                <w:color w:val="000000"/>
                <w:kern w:val="0"/>
                <w:sz w:val="20"/>
                <w:szCs w:val="20"/>
              </w:rPr>
              <w:t>0.00</w:t>
            </w:r>
          </w:p>
        </w:tc>
        <w:tc>
          <w:tcPr>
            <w:tcW w:w="816" w:type="pct"/>
            <w:gridSpan w:val="3"/>
            <w:shd w:val="clear" w:color="auto" w:fill="auto"/>
            <w:vAlign w:val="center"/>
          </w:tcPr>
          <w:p w14:paraId="65EAF2F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795" w:type="pct"/>
            <w:gridSpan w:val="2"/>
            <w:shd w:val="clear" w:color="auto" w:fill="auto"/>
            <w:vAlign w:val="center"/>
          </w:tcPr>
          <w:p w14:paraId="2AD50146">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410" w:type="pct"/>
            <w:gridSpan w:val="2"/>
            <w:shd w:val="clear" w:color="auto" w:fill="auto"/>
            <w:noWrap/>
            <w:vAlign w:val="center"/>
          </w:tcPr>
          <w:p w14:paraId="05313B4F">
            <w:pPr>
              <w:widowControl/>
              <w:jc w:val="center"/>
              <w:rPr>
                <w:rFonts w:ascii="Arial" w:hAnsi="Arial" w:cs="Arial"/>
                <w:color w:val="222222"/>
                <w:kern w:val="0"/>
                <w:sz w:val="20"/>
                <w:szCs w:val="20"/>
              </w:rPr>
            </w:pPr>
            <w:r>
              <w:rPr>
                <w:rFonts w:ascii="Arial" w:hAnsi="Arial" w:cs="Arial"/>
                <w:color w:val="222222"/>
                <w:kern w:val="0"/>
                <w:sz w:val="20"/>
                <w:szCs w:val="20"/>
              </w:rPr>
              <w:t>——</w:t>
            </w:r>
          </w:p>
        </w:tc>
        <w:tc>
          <w:tcPr>
            <w:tcW w:w="809" w:type="pct"/>
            <w:gridSpan w:val="4"/>
            <w:shd w:val="clear" w:color="auto" w:fill="auto"/>
            <w:vAlign w:val="center"/>
          </w:tcPr>
          <w:p w14:paraId="5C7F008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13" w:type="pct"/>
            <w:shd w:val="clear" w:color="auto" w:fill="auto"/>
            <w:noWrap/>
            <w:vAlign w:val="center"/>
          </w:tcPr>
          <w:p w14:paraId="37D73BC2">
            <w:pPr>
              <w:widowControl/>
              <w:jc w:val="center"/>
              <w:rPr>
                <w:rFonts w:ascii="Arial" w:hAnsi="Arial" w:cs="Arial"/>
                <w:color w:val="222222"/>
                <w:kern w:val="0"/>
                <w:sz w:val="20"/>
                <w:szCs w:val="20"/>
              </w:rPr>
            </w:pPr>
            <w:r>
              <w:rPr>
                <w:rFonts w:ascii="Arial" w:hAnsi="Arial" w:cs="Arial"/>
                <w:color w:val="222222"/>
                <w:kern w:val="0"/>
                <w:sz w:val="20"/>
                <w:szCs w:val="20"/>
              </w:rPr>
              <w:t>——</w:t>
            </w:r>
          </w:p>
        </w:tc>
      </w:tr>
      <w:tr w14:paraId="744F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5" w:type="pct"/>
            <w:gridSpan w:val="2"/>
            <w:vMerge w:val="restart"/>
            <w:shd w:val="clear" w:color="auto" w:fill="auto"/>
            <w:vAlign w:val="center"/>
          </w:tcPr>
          <w:p w14:paraId="06F4D40D">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2286" w:type="pct"/>
            <w:gridSpan w:val="7"/>
            <w:shd w:val="clear" w:color="auto" w:fill="auto"/>
            <w:vAlign w:val="center"/>
          </w:tcPr>
          <w:p w14:paraId="2E7775D7">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2169" w:type="pct"/>
            <w:gridSpan w:val="8"/>
            <w:shd w:val="clear" w:color="auto" w:fill="auto"/>
            <w:vAlign w:val="center"/>
          </w:tcPr>
          <w:p w14:paraId="1EEBB162">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53A9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45" w:type="pct"/>
            <w:gridSpan w:val="2"/>
            <w:vMerge w:val="continue"/>
            <w:vAlign w:val="center"/>
          </w:tcPr>
          <w:p w14:paraId="0CF26E43">
            <w:pPr>
              <w:widowControl/>
              <w:jc w:val="left"/>
              <w:rPr>
                <w:rFonts w:ascii="宋体" w:hAnsi="宋体" w:cs="宋体"/>
                <w:color w:val="000000"/>
                <w:kern w:val="0"/>
                <w:sz w:val="20"/>
                <w:szCs w:val="20"/>
              </w:rPr>
            </w:pPr>
          </w:p>
        </w:tc>
        <w:tc>
          <w:tcPr>
            <w:tcW w:w="2286" w:type="pct"/>
            <w:gridSpan w:val="7"/>
            <w:shd w:val="clear" w:color="auto" w:fill="auto"/>
            <w:vAlign w:val="center"/>
          </w:tcPr>
          <w:p w14:paraId="2FE15121">
            <w:pPr>
              <w:widowControl/>
              <w:jc w:val="center"/>
              <w:rPr>
                <w:rFonts w:ascii="宋体" w:hAnsi="宋体" w:cs="宋体"/>
                <w:color w:val="000000"/>
                <w:kern w:val="0"/>
                <w:sz w:val="20"/>
                <w:szCs w:val="20"/>
              </w:rPr>
            </w:pPr>
            <w:r>
              <w:rPr>
                <w:rFonts w:hint="eastAsia" w:ascii="宋体" w:hAnsi="宋体" w:cs="宋体"/>
                <w:color w:val="000000"/>
                <w:kern w:val="0"/>
                <w:sz w:val="20"/>
                <w:szCs w:val="20"/>
              </w:rPr>
              <w:t>1、按时完成自治区农牧厅和盟委行署安排部署的各项工作任务；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2、严格执行财政预算支出制度，精简会议培训，压缩不必要的公出 ，达到资金使用效益最大化。</w:t>
            </w:r>
          </w:p>
        </w:tc>
        <w:tc>
          <w:tcPr>
            <w:tcW w:w="2169" w:type="pct"/>
            <w:gridSpan w:val="8"/>
            <w:shd w:val="clear" w:color="auto" w:fill="auto"/>
            <w:vAlign w:val="center"/>
          </w:tcPr>
          <w:p w14:paraId="7B2423ED">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400000.00元、全年预算400000.00元、全年执行数387,596.00元，其中培训费支出5,780.00元、差旅费120020.00元、办公费114,955.00元、其他交通费13,161.00元、委托业务费50,000.00元、租赁费19,200.00元、劳务费9,480.00元、印刷费30,000.00元、邮电费10,000.00元、会议费15,000.00元、结转12359.00元、上缴财政资金办公费45.00元。</w:t>
            </w:r>
          </w:p>
        </w:tc>
      </w:tr>
      <w:tr w14:paraId="040C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8" w:type="pct"/>
            <w:shd w:val="clear" w:color="auto" w:fill="auto"/>
            <w:vAlign w:val="center"/>
          </w:tcPr>
          <w:p w14:paraId="7B1108B2">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357" w:type="pct"/>
            <w:shd w:val="clear" w:color="auto" w:fill="auto"/>
            <w:vAlign w:val="center"/>
          </w:tcPr>
          <w:p w14:paraId="11E95189">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479" w:type="pct"/>
            <w:shd w:val="clear" w:color="auto" w:fill="auto"/>
            <w:vAlign w:val="center"/>
          </w:tcPr>
          <w:p w14:paraId="41A7C769">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632" w:type="pct"/>
            <w:gridSpan w:val="2"/>
            <w:shd w:val="clear" w:color="auto" w:fill="auto"/>
            <w:vAlign w:val="center"/>
          </w:tcPr>
          <w:p w14:paraId="237E1E6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245" w:type="pct"/>
            <w:shd w:val="clear" w:color="auto" w:fill="auto"/>
            <w:vAlign w:val="center"/>
          </w:tcPr>
          <w:p w14:paraId="68A87611">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指标性质</w:t>
            </w:r>
          </w:p>
        </w:tc>
        <w:tc>
          <w:tcPr>
            <w:tcW w:w="287" w:type="pct"/>
            <w:shd w:val="clear" w:color="auto" w:fill="auto"/>
            <w:vAlign w:val="center"/>
          </w:tcPr>
          <w:p w14:paraId="5970A38F">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指标方向</w:t>
            </w:r>
          </w:p>
        </w:tc>
        <w:tc>
          <w:tcPr>
            <w:tcW w:w="642" w:type="pct"/>
            <w:gridSpan w:val="2"/>
            <w:shd w:val="clear" w:color="auto" w:fill="auto"/>
            <w:vAlign w:val="center"/>
          </w:tcPr>
          <w:p w14:paraId="704C121A">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566" w:type="pct"/>
            <w:gridSpan w:val="2"/>
            <w:shd w:val="clear" w:color="auto" w:fill="auto"/>
            <w:vAlign w:val="center"/>
          </w:tcPr>
          <w:p w14:paraId="7E09D5E4">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359" w:type="pct"/>
            <w:gridSpan w:val="2"/>
            <w:shd w:val="clear" w:color="auto" w:fill="auto"/>
            <w:vAlign w:val="center"/>
          </w:tcPr>
          <w:p w14:paraId="10DDDBC8">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计量单位</w:t>
            </w:r>
          </w:p>
        </w:tc>
        <w:tc>
          <w:tcPr>
            <w:tcW w:w="285" w:type="pct"/>
            <w:shd w:val="clear" w:color="auto" w:fill="auto"/>
            <w:vAlign w:val="center"/>
          </w:tcPr>
          <w:p w14:paraId="306A20ED">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428" w:type="pct"/>
            <w:shd w:val="clear" w:color="auto" w:fill="auto"/>
            <w:vAlign w:val="center"/>
          </w:tcPr>
          <w:p w14:paraId="043F3780">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531" w:type="pct"/>
            <w:gridSpan w:val="2"/>
            <w:shd w:val="clear" w:color="auto" w:fill="auto"/>
            <w:vAlign w:val="center"/>
          </w:tcPr>
          <w:p w14:paraId="4A82913E">
            <w:pPr>
              <w:widowControl/>
              <w:jc w:val="left"/>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4B4D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8" w:type="pct"/>
            <w:vMerge w:val="restart"/>
            <w:shd w:val="clear" w:color="auto" w:fill="auto"/>
            <w:vAlign w:val="center"/>
          </w:tcPr>
          <w:p w14:paraId="24DE16C6">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357" w:type="pct"/>
            <w:vMerge w:val="restart"/>
            <w:shd w:val="clear" w:color="auto" w:fill="auto"/>
            <w:vAlign w:val="center"/>
          </w:tcPr>
          <w:p w14:paraId="6DE41DC2">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479" w:type="pct"/>
            <w:shd w:val="clear" w:color="auto" w:fill="auto"/>
            <w:vAlign w:val="center"/>
          </w:tcPr>
          <w:p w14:paraId="61DA11BE">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632" w:type="pct"/>
            <w:gridSpan w:val="2"/>
            <w:shd w:val="clear" w:color="auto" w:fill="auto"/>
            <w:vAlign w:val="center"/>
          </w:tcPr>
          <w:p w14:paraId="12C97623">
            <w:pPr>
              <w:widowControl/>
              <w:jc w:val="center"/>
              <w:rPr>
                <w:rFonts w:ascii="宋体" w:hAnsi="宋体" w:cs="宋体"/>
                <w:color w:val="000000"/>
                <w:kern w:val="0"/>
                <w:sz w:val="20"/>
                <w:szCs w:val="20"/>
              </w:rPr>
            </w:pPr>
            <w:r>
              <w:rPr>
                <w:rFonts w:hint="eastAsia" w:ascii="宋体" w:hAnsi="宋体" w:cs="宋体"/>
                <w:color w:val="000000"/>
                <w:kern w:val="0"/>
                <w:sz w:val="20"/>
                <w:szCs w:val="20"/>
              </w:rPr>
              <w:t>下乡监督检查指导工作或公出产生的涉及地区</w:t>
            </w:r>
          </w:p>
        </w:tc>
        <w:tc>
          <w:tcPr>
            <w:tcW w:w="245" w:type="pct"/>
            <w:shd w:val="clear" w:color="auto" w:fill="auto"/>
            <w:vAlign w:val="center"/>
          </w:tcPr>
          <w:p w14:paraId="48FA8A39">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287" w:type="pct"/>
            <w:shd w:val="clear" w:color="auto" w:fill="auto"/>
            <w:vAlign w:val="center"/>
          </w:tcPr>
          <w:p w14:paraId="12F9640B">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642" w:type="pct"/>
            <w:gridSpan w:val="2"/>
            <w:shd w:val="clear" w:color="auto" w:fill="auto"/>
            <w:vAlign w:val="center"/>
          </w:tcPr>
          <w:p w14:paraId="3297EA68">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66" w:type="pct"/>
            <w:gridSpan w:val="2"/>
            <w:shd w:val="clear" w:color="auto" w:fill="auto"/>
            <w:vAlign w:val="center"/>
          </w:tcPr>
          <w:p w14:paraId="3EEE4CC7">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59" w:type="pct"/>
            <w:gridSpan w:val="2"/>
            <w:shd w:val="clear" w:color="auto" w:fill="auto"/>
            <w:vAlign w:val="center"/>
          </w:tcPr>
          <w:p w14:paraId="1D8242B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旗县市（区）</w:t>
            </w:r>
          </w:p>
        </w:tc>
        <w:tc>
          <w:tcPr>
            <w:tcW w:w="285" w:type="pct"/>
            <w:shd w:val="clear" w:color="auto" w:fill="auto"/>
            <w:vAlign w:val="center"/>
          </w:tcPr>
          <w:p w14:paraId="3292B146">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28" w:type="pct"/>
            <w:shd w:val="clear" w:color="auto" w:fill="auto"/>
            <w:vAlign w:val="center"/>
          </w:tcPr>
          <w:p w14:paraId="7E3825BE">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531" w:type="pct"/>
            <w:gridSpan w:val="2"/>
            <w:shd w:val="clear" w:color="auto" w:fill="auto"/>
            <w:vAlign w:val="center"/>
          </w:tcPr>
          <w:p w14:paraId="16FBDF2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CA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8" w:type="pct"/>
            <w:vMerge w:val="continue"/>
            <w:vAlign w:val="center"/>
          </w:tcPr>
          <w:p w14:paraId="13771073">
            <w:pPr>
              <w:widowControl/>
              <w:jc w:val="left"/>
              <w:rPr>
                <w:rFonts w:ascii="宋体" w:hAnsi="宋体" w:cs="宋体"/>
                <w:color w:val="000000"/>
                <w:kern w:val="0"/>
                <w:sz w:val="20"/>
                <w:szCs w:val="20"/>
              </w:rPr>
            </w:pPr>
          </w:p>
        </w:tc>
        <w:tc>
          <w:tcPr>
            <w:tcW w:w="357" w:type="pct"/>
            <w:vMerge w:val="continue"/>
            <w:vAlign w:val="center"/>
          </w:tcPr>
          <w:p w14:paraId="7D49D3A6">
            <w:pPr>
              <w:widowControl/>
              <w:jc w:val="left"/>
              <w:rPr>
                <w:rFonts w:ascii="宋体" w:hAnsi="宋体" w:cs="宋体"/>
                <w:color w:val="000000"/>
                <w:kern w:val="0"/>
                <w:sz w:val="20"/>
                <w:szCs w:val="20"/>
              </w:rPr>
            </w:pPr>
          </w:p>
        </w:tc>
        <w:tc>
          <w:tcPr>
            <w:tcW w:w="479" w:type="pct"/>
            <w:shd w:val="clear" w:color="auto" w:fill="auto"/>
            <w:vAlign w:val="center"/>
          </w:tcPr>
          <w:p w14:paraId="0183BADC">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632" w:type="pct"/>
            <w:gridSpan w:val="2"/>
            <w:shd w:val="clear" w:color="auto" w:fill="auto"/>
            <w:vAlign w:val="center"/>
          </w:tcPr>
          <w:p w14:paraId="61A9810F">
            <w:pPr>
              <w:widowControl/>
              <w:jc w:val="center"/>
              <w:rPr>
                <w:rFonts w:ascii="宋体" w:hAnsi="宋体" w:cs="宋体"/>
                <w:color w:val="000000"/>
                <w:kern w:val="0"/>
                <w:sz w:val="20"/>
                <w:szCs w:val="20"/>
              </w:rPr>
            </w:pPr>
            <w:r>
              <w:rPr>
                <w:rFonts w:hint="eastAsia" w:ascii="宋体" w:hAnsi="宋体" w:cs="宋体"/>
                <w:color w:val="000000"/>
                <w:kern w:val="0"/>
                <w:sz w:val="20"/>
                <w:szCs w:val="20"/>
              </w:rPr>
              <w:t>经费合理使用率</w:t>
            </w:r>
          </w:p>
        </w:tc>
        <w:tc>
          <w:tcPr>
            <w:tcW w:w="245" w:type="pct"/>
            <w:shd w:val="clear" w:color="auto" w:fill="auto"/>
            <w:vAlign w:val="center"/>
          </w:tcPr>
          <w:p w14:paraId="2F75888D">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287" w:type="pct"/>
            <w:shd w:val="clear" w:color="auto" w:fill="auto"/>
            <w:vAlign w:val="center"/>
          </w:tcPr>
          <w:p w14:paraId="1BD17445">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642" w:type="pct"/>
            <w:gridSpan w:val="2"/>
            <w:shd w:val="clear" w:color="auto" w:fill="auto"/>
            <w:vAlign w:val="center"/>
          </w:tcPr>
          <w:p w14:paraId="6346600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66" w:type="pct"/>
            <w:gridSpan w:val="2"/>
            <w:shd w:val="clear" w:color="auto" w:fill="auto"/>
            <w:vAlign w:val="center"/>
          </w:tcPr>
          <w:p w14:paraId="71A6603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359" w:type="pct"/>
            <w:gridSpan w:val="2"/>
            <w:shd w:val="clear" w:color="auto" w:fill="auto"/>
            <w:vAlign w:val="center"/>
          </w:tcPr>
          <w:p w14:paraId="0878B9E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85" w:type="pct"/>
            <w:shd w:val="clear" w:color="auto" w:fill="auto"/>
            <w:vAlign w:val="center"/>
          </w:tcPr>
          <w:p w14:paraId="2AD77BCF">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28" w:type="pct"/>
            <w:shd w:val="clear" w:color="auto" w:fill="auto"/>
            <w:vAlign w:val="center"/>
          </w:tcPr>
          <w:p w14:paraId="1805F990">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531" w:type="pct"/>
            <w:gridSpan w:val="2"/>
            <w:shd w:val="clear" w:color="auto" w:fill="auto"/>
            <w:vAlign w:val="center"/>
          </w:tcPr>
          <w:p w14:paraId="2B35AD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5BE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8" w:type="pct"/>
            <w:vMerge w:val="continue"/>
            <w:vAlign w:val="center"/>
          </w:tcPr>
          <w:p w14:paraId="1C1C859C">
            <w:pPr>
              <w:widowControl/>
              <w:jc w:val="left"/>
              <w:rPr>
                <w:rFonts w:ascii="宋体" w:hAnsi="宋体" w:cs="宋体"/>
                <w:color w:val="000000"/>
                <w:kern w:val="0"/>
                <w:sz w:val="20"/>
                <w:szCs w:val="20"/>
              </w:rPr>
            </w:pPr>
          </w:p>
        </w:tc>
        <w:tc>
          <w:tcPr>
            <w:tcW w:w="357" w:type="pct"/>
            <w:vMerge w:val="continue"/>
            <w:vAlign w:val="center"/>
          </w:tcPr>
          <w:p w14:paraId="52A3C7B5">
            <w:pPr>
              <w:widowControl/>
              <w:jc w:val="left"/>
              <w:rPr>
                <w:rFonts w:ascii="宋体" w:hAnsi="宋体" w:cs="宋体"/>
                <w:color w:val="000000"/>
                <w:kern w:val="0"/>
                <w:sz w:val="20"/>
                <w:szCs w:val="20"/>
              </w:rPr>
            </w:pPr>
          </w:p>
        </w:tc>
        <w:tc>
          <w:tcPr>
            <w:tcW w:w="479" w:type="pct"/>
            <w:shd w:val="clear" w:color="auto" w:fill="auto"/>
            <w:vAlign w:val="center"/>
          </w:tcPr>
          <w:p w14:paraId="6D0C51E9">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632" w:type="pct"/>
            <w:gridSpan w:val="2"/>
            <w:shd w:val="clear" w:color="auto" w:fill="auto"/>
            <w:vAlign w:val="center"/>
          </w:tcPr>
          <w:p w14:paraId="7367EF70">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资金使用年限</w:t>
            </w:r>
          </w:p>
        </w:tc>
        <w:tc>
          <w:tcPr>
            <w:tcW w:w="245" w:type="pct"/>
            <w:shd w:val="clear" w:color="auto" w:fill="auto"/>
            <w:vAlign w:val="center"/>
          </w:tcPr>
          <w:p w14:paraId="7C41B94A">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287" w:type="pct"/>
            <w:shd w:val="clear" w:color="auto" w:fill="auto"/>
            <w:vAlign w:val="center"/>
          </w:tcPr>
          <w:p w14:paraId="11C2A0CF">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642" w:type="pct"/>
            <w:gridSpan w:val="2"/>
            <w:shd w:val="clear" w:color="auto" w:fill="auto"/>
            <w:vAlign w:val="center"/>
          </w:tcPr>
          <w:p w14:paraId="5557BD12">
            <w:pPr>
              <w:widowControl/>
              <w:jc w:val="center"/>
              <w:rPr>
                <w:rFonts w:ascii="宋体" w:hAnsi="宋体" w:cs="宋体"/>
                <w:color w:val="000000"/>
                <w:kern w:val="0"/>
                <w:sz w:val="20"/>
                <w:szCs w:val="20"/>
              </w:rPr>
            </w:pPr>
            <w:r>
              <w:rPr>
                <w:rFonts w:hint="eastAsia" w:ascii="宋体" w:hAnsi="宋体" w:cs="宋体"/>
                <w:color w:val="000000"/>
                <w:kern w:val="0"/>
                <w:sz w:val="20"/>
                <w:szCs w:val="20"/>
              </w:rPr>
              <w:t>2023</w:t>
            </w:r>
          </w:p>
        </w:tc>
        <w:tc>
          <w:tcPr>
            <w:tcW w:w="566" w:type="pct"/>
            <w:gridSpan w:val="2"/>
            <w:shd w:val="clear" w:color="auto" w:fill="auto"/>
            <w:vAlign w:val="center"/>
          </w:tcPr>
          <w:p w14:paraId="3D128774">
            <w:pPr>
              <w:widowControl/>
              <w:jc w:val="center"/>
              <w:rPr>
                <w:rFonts w:ascii="宋体" w:hAnsi="宋体" w:cs="宋体"/>
                <w:color w:val="000000"/>
                <w:kern w:val="0"/>
                <w:sz w:val="20"/>
                <w:szCs w:val="20"/>
              </w:rPr>
            </w:pPr>
            <w:r>
              <w:rPr>
                <w:rFonts w:hint="eastAsia" w:ascii="宋体" w:hAnsi="宋体" w:cs="宋体"/>
                <w:color w:val="000000"/>
                <w:kern w:val="0"/>
                <w:sz w:val="20"/>
                <w:szCs w:val="20"/>
              </w:rPr>
              <w:t>2023</w:t>
            </w:r>
          </w:p>
        </w:tc>
        <w:tc>
          <w:tcPr>
            <w:tcW w:w="359" w:type="pct"/>
            <w:gridSpan w:val="2"/>
            <w:shd w:val="clear" w:color="auto" w:fill="auto"/>
            <w:vAlign w:val="center"/>
          </w:tcPr>
          <w:p w14:paraId="6924B75E">
            <w:pPr>
              <w:widowControl/>
              <w:jc w:val="center"/>
              <w:rPr>
                <w:rFonts w:ascii="宋体" w:hAnsi="宋体" w:cs="宋体"/>
                <w:color w:val="000000"/>
                <w:kern w:val="0"/>
                <w:sz w:val="20"/>
                <w:szCs w:val="20"/>
              </w:rPr>
            </w:pPr>
            <w:r>
              <w:rPr>
                <w:rFonts w:hint="eastAsia" w:ascii="宋体" w:hAnsi="宋体" w:cs="宋体"/>
                <w:color w:val="000000"/>
                <w:kern w:val="0"/>
                <w:sz w:val="20"/>
                <w:szCs w:val="20"/>
              </w:rPr>
              <w:t>年</w:t>
            </w:r>
          </w:p>
        </w:tc>
        <w:tc>
          <w:tcPr>
            <w:tcW w:w="285" w:type="pct"/>
            <w:shd w:val="clear" w:color="auto" w:fill="auto"/>
            <w:vAlign w:val="center"/>
          </w:tcPr>
          <w:p w14:paraId="0122E2A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shd w:val="clear" w:color="auto" w:fill="auto"/>
            <w:vAlign w:val="center"/>
          </w:tcPr>
          <w:p w14:paraId="165DF19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31" w:type="pct"/>
            <w:gridSpan w:val="2"/>
            <w:shd w:val="clear" w:color="auto" w:fill="auto"/>
            <w:vAlign w:val="center"/>
          </w:tcPr>
          <w:p w14:paraId="4226771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AAC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8" w:type="pct"/>
            <w:vMerge w:val="continue"/>
            <w:vAlign w:val="center"/>
          </w:tcPr>
          <w:p w14:paraId="7E36914C">
            <w:pPr>
              <w:widowControl/>
              <w:jc w:val="left"/>
              <w:rPr>
                <w:rFonts w:ascii="宋体" w:hAnsi="宋体" w:cs="宋体"/>
                <w:color w:val="000000"/>
                <w:kern w:val="0"/>
                <w:sz w:val="20"/>
                <w:szCs w:val="20"/>
              </w:rPr>
            </w:pPr>
          </w:p>
        </w:tc>
        <w:tc>
          <w:tcPr>
            <w:tcW w:w="357" w:type="pct"/>
            <w:vMerge w:val="continue"/>
            <w:vAlign w:val="center"/>
          </w:tcPr>
          <w:p w14:paraId="5CE144C6">
            <w:pPr>
              <w:widowControl/>
              <w:jc w:val="left"/>
              <w:rPr>
                <w:rFonts w:ascii="宋体" w:hAnsi="宋体" w:cs="宋体"/>
                <w:color w:val="000000"/>
                <w:kern w:val="0"/>
                <w:sz w:val="20"/>
                <w:szCs w:val="20"/>
              </w:rPr>
            </w:pPr>
          </w:p>
        </w:tc>
        <w:tc>
          <w:tcPr>
            <w:tcW w:w="479" w:type="pct"/>
            <w:shd w:val="clear" w:color="auto" w:fill="auto"/>
            <w:vAlign w:val="center"/>
          </w:tcPr>
          <w:p w14:paraId="6DC3E9AC">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632" w:type="pct"/>
            <w:gridSpan w:val="2"/>
            <w:shd w:val="clear" w:color="auto" w:fill="auto"/>
            <w:vAlign w:val="center"/>
          </w:tcPr>
          <w:p w14:paraId="2D8D50DA">
            <w:pPr>
              <w:widowControl/>
              <w:jc w:val="center"/>
              <w:rPr>
                <w:rFonts w:ascii="宋体" w:hAnsi="宋体" w:cs="宋体"/>
                <w:color w:val="000000"/>
                <w:kern w:val="0"/>
                <w:sz w:val="20"/>
                <w:szCs w:val="20"/>
              </w:rPr>
            </w:pPr>
            <w:r>
              <w:rPr>
                <w:rFonts w:hint="eastAsia" w:ascii="宋体" w:hAnsi="宋体" w:cs="宋体"/>
                <w:color w:val="000000"/>
                <w:kern w:val="0"/>
                <w:sz w:val="20"/>
                <w:szCs w:val="20"/>
              </w:rPr>
              <w:t>下乡监督检查指导工作或公出成本</w:t>
            </w:r>
          </w:p>
        </w:tc>
        <w:tc>
          <w:tcPr>
            <w:tcW w:w="245" w:type="pct"/>
            <w:shd w:val="clear" w:color="auto" w:fill="auto"/>
            <w:vAlign w:val="center"/>
          </w:tcPr>
          <w:p w14:paraId="4575F056">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287" w:type="pct"/>
            <w:shd w:val="clear" w:color="auto" w:fill="auto"/>
            <w:vAlign w:val="center"/>
          </w:tcPr>
          <w:p w14:paraId="06739218">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642" w:type="pct"/>
            <w:gridSpan w:val="2"/>
            <w:shd w:val="clear" w:color="auto" w:fill="auto"/>
            <w:vAlign w:val="center"/>
          </w:tcPr>
          <w:p w14:paraId="5F5BB0C7">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566" w:type="pct"/>
            <w:gridSpan w:val="2"/>
            <w:shd w:val="clear" w:color="auto" w:fill="auto"/>
            <w:vAlign w:val="center"/>
          </w:tcPr>
          <w:p w14:paraId="06AB3665">
            <w:pPr>
              <w:widowControl/>
              <w:jc w:val="center"/>
              <w:rPr>
                <w:rFonts w:ascii="宋体" w:hAnsi="宋体" w:cs="宋体"/>
                <w:color w:val="000000"/>
                <w:kern w:val="0"/>
                <w:sz w:val="20"/>
                <w:szCs w:val="20"/>
              </w:rPr>
            </w:pPr>
            <w:r>
              <w:rPr>
                <w:rFonts w:hint="eastAsia" w:ascii="宋体" w:hAnsi="宋体" w:cs="宋体"/>
                <w:color w:val="000000"/>
                <w:kern w:val="0"/>
                <w:sz w:val="20"/>
                <w:szCs w:val="20"/>
              </w:rPr>
              <w:t>38.76</w:t>
            </w:r>
          </w:p>
        </w:tc>
        <w:tc>
          <w:tcPr>
            <w:tcW w:w="359" w:type="pct"/>
            <w:gridSpan w:val="2"/>
            <w:shd w:val="clear" w:color="auto" w:fill="auto"/>
            <w:vAlign w:val="center"/>
          </w:tcPr>
          <w:p w14:paraId="2028D5C1">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285" w:type="pct"/>
            <w:shd w:val="clear" w:color="auto" w:fill="auto"/>
            <w:vAlign w:val="center"/>
          </w:tcPr>
          <w:p w14:paraId="456C309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shd w:val="clear" w:color="auto" w:fill="auto"/>
            <w:vAlign w:val="center"/>
          </w:tcPr>
          <w:p w14:paraId="2F16C5DA">
            <w:pPr>
              <w:widowControl/>
              <w:jc w:val="center"/>
              <w:rPr>
                <w:rFonts w:ascii="宋体" w:hAnsi="宋体" w:cs="宋体"/>
                <w:color w:val="000000"/>
                <w:kern w:val="0"/>
                <w:sz w:val="20"/>
                <w:szCs w:val="20"/>
              </w:rPr>
            </w:pPr>
            <w:r>
              <w:rPr>
                <w:rFonts w:hint="eastAsia" w:ascii="宋体" w:hAnsi="宋体" w:cs="宋体"/>
                <w:color w:val="000000"/>
                <w:kern w:val="0"/>
                <w:sz w:val="20"/>
                <w:szCs w:val="20"/>
              </w:rPr>
              <w:t>9.69</w:t>
            </w:r>
          </w:p>
        </w:tc>
        <w:tc>
          <w:tcPr>
            <w:tcW w:w="531" w:type="pct"/>
            <w:gridSpan w:val="2"/>
            <w:shd w:val="clear" w:color="auto" w:fill="auto"/>
            <w:vAlign w:val="center"/>
          </w:tcPr>
          <w:p w14:paraId="6FADE052">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结转12359.00元、上缴财政资金办公费45.00元。下一年继续用于农牧方面工作支出</w:t>
            </w:r>
          </w:p>
        </w:tc>
      </w:tr>
      <w:tr w14:paraId="174B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8" w:type="pct"/>
            <w:vMerge w:val="continue"/>
            <w:vAlign w:val="center"/>
          </w:tcPr>
          <w:p w14:paraId="320FED00">
            <w:pPr>
              <w:widowControl/>
              <w:jc w:val="left"/>
              <w:rPr>
                <w:rFonts w:ascii="宋体" w:hAnsi="宋体" w:cs="宋体"/>
                <w:color w:val="000000"/>
                <w:kern w:val="0"/>
                <w:sz w:val="20"/>
                <w:szCs w:val="20"/>
              </w:rPr>
            </w:pPr>
          </w:p>
        </w:tc>
        <w:tc>
          <w:tcPr>
            <w:tcW w:w="357" w:type="pct"/>
            <w:vMerge w:val="restart"/>
            <w:shd w:val="clear" w:color="auto" w:fill="auto"/>
            <w:vAlign w:val="center"/>
          </w:tcPr>
          <w:p w14:paraId="46A63D91">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479" w:type="pct"/>
            <w:shd w:val="clear" w:color="auto" w:fill="auto"/>
            <w:vAlign w:val="center"/>
          </w:tcPr>
          <w:p w14:paraId="4ED3A7FE">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632" w:type="pct"/>
            <w:gridSpan w:val="2"/>
            <w:shd w:val="clear" w:color="auto" w:fill="auto"/>
            <w:vAlign w:val="center"/>
          </w:tcPr>
          <w:p w14:paraId="6A264AEE">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资金使用情况</w:t>
            </w:r>
          </w:p>
        </w:tc>
        <w:tc>
          <w:tcPr>
            <w:tcW w:w="245" w:type="pct"/>
            <w:shd w:val="clear" w:color="auto" w:fill="auto"/>
            <w:vAlign w:val="center"/>
          </w:tcPr>
          <w:p w14:paraId="6972BA4B">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287" w:type="pct"/>
            <w:shd w:val="clear" w:color="auto" w:fill="auto"/>
            <w:vAlign w:val="center"/>
          </w:tcPr>
          <w:p w14:paraId="551A39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2" w:type="pct"/>
            <w:gridSpan w:val="2"/>
            <w:shd w:val="clear" w:color="auto" w:fill="auto"/>
            <w:vAlign w:val="center"/>
          </w:tcPr>
          <w:p w14:paraId="0803C0AC">
            <w:pPr>
              <w:widowControl/>
              <w:jc w:val="center"/>
              <w:rPr>
                <w:rFonts w:ascii="宋体" w:hAnsi="宋体" w:cs="宋体"/>
                <w:color w:val="000000"/>
                <w:kern w:val="0"/>
                <w:sz w:val="20"/>
                <w:szCs w:val="20"/>
              </w:rPr>
            </w:pPr>
            <w:r>
              <w:rPr>
                <w:rFonts w:hint="eastAsia" w:ascii="宋体" w:hAnsi="宋体" w:cs="宋体"/>
                <w:color w:val="000000"/>
                <w:kern w:val="0"/>
                <w:sz w:val="20"/>
                <w:szCs w:val="20"/>
              </w:rPr>
              <w:t>严格执行财政预算支出制度，精简压缩不必要的支出</w:t>
            </w:r>
          </w:p>
        </w:tc>
        <w:tc>
          <w:tcPr>
            <w:tcW w:w="566" w:type="pct"/>
            <w:gridSpan w:val="2"/>
            <w:shd w:val="clear" w:color="auto" w:fill="auto"/>
            <w:vAlign w:val="center"/>
          </w:tcPr>
          <w:p w14:paraId="73CD035F">
            <w:pPr>
              <w:widowControl/>
              <w:jc w:val="center"/>
              <w:rPr>
                <w:rFonts w:ascii="宋体" w:hAnsi="宋体" w:cs="宋体"/>
                <w:color w:val="000000"/>
                <w:kern w:val="0"/>
                <w:sz w:val="20"/>
                <w:szCs w:val="20"/>
              </w:rPr>
            </w:pPr>
            <w:r>
              <w:rPr>
                <w:rFonts w:hint="eastAsia" w:ascii="宋体" w:hAnsi="宋体" w:cs="宋体"/>
                <w:color w:val="000000"/>
                <w:kern w:val="0"/>
                <w:sz w:val="20"/>
                <w:szCs w:val="20"/>
              </w:rPr>
              <w:t>严格执行财政预算支出制度，精简压缩不必要的支出</w:t>
            </w:r>
          </w:p>
        </w:tc>
        <w:tc>
          <w:tcPr>
            <w:tcW w:w="359" w:type="pct"/>
            <w:gridSpan w:val="2"/>
            <w:shd w:val="clear" w:color="auto" w:fill="auto"/>
            <w:vAlign w:val="center"/>
          </w:tcPr>
          <w:p w14:paraId="1AC9278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85" w:type="pct"/>
            <w:shd w:val="clear" w:color="auto" w:fill="auto"/>
            <w:vAlign w:val="center"/>
          </w:tcPr>
          <w:p w14:paraId="090CBC6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shd w:val="clear" w:color="auto" w:fill="auto"/>
            <w:vAlign w:val="center"/>
          </w:tcPr>
          <w:p w14:paraId="2D85649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31" w:type="pct"/>
            <w:gridSpan w:val="2"/>
            <w:shd w:val="clear" w:color="auto" w:fill="auto"/>
            <w:vAlign w:val="center"/>
          </w:tcPr>
          <w:p w14:paraId="0B1CDD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5E6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8" w:type="pct"/>
            <w:vMerge w:val="continue"/>
            <w:vAlign w:val="center"/>
          </w:tcPr>
          <w:p w14:paraId="24F215BB">
            <w:pPr>
              <w:widowControl/>
              <w:jc w:val="left"/>
              <w:rPr>
                <w:rFonts w:ascii="宋体" w:hAnsi="宋体" w:cs="宋体"/>
                <w:color w:val="000000"/>
                <w:kern w:val="0"/>
                <w:sz w:val="20"/>
                <w:szCs w:val="20"/>
              </w:rPr>
            </w:pPr>
          </w:p>
        </w:tc>
        <w:tc>
          <w:tcPr>
            <w:tcW w:w="357" w:type="pct"/>
            <w:vMerge w:val="continue"/>
            <w:vAlign w:val="center"/>
          </w:tcPr>
          <w:p w14:paraId="37F969F7">
            <w:pPr>
              <w:widowControl/>
              <w:jc w:val="left"/>
              <w:rPr>
                <w:rFonts w:ascii="宋体" w:hAnsi="宋体" w:cs="宋体"/>
                <w:color w:val="000000"/>
                <w:kern w:val="0"/>
                <w:sz w:val="20"/>
                <w:szCs w:val="20"/>
              </w:rPr>
            </w:pPr>
          </w:p>
        </w:tc>
        <w:tc>
          <w:tcPr>
            <w:tcW w:w="479" w:type="pct"/>
            <w:shd w:val="clear" w:color="auto" w:fill="auto"/>
            <w:vAlign w:val="center"/>
          </w:tcPr>
          <w:p w14:paraId="2DD4174E">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632" w:type="pct"/>
            <w:gridSpan w:val="2"/>
            <w:shd w:val="clear" w:color="auto" w:fill="auto"/>
            <w:vAlign w:val="center"/>
          </w:tcPr>
          <w:p w14:paraId="4340B29A">
            <w:pPr>
              <w:widowControl/>
              <w:jc w:val="center"/>
              <w:rPr>
                <w:rFonts w:ascii="宋体" w:hAnsi="宋体" w:cs="宋体"/>
                <w:color w:val="000000"/>
                <w:kern w:val="0"/>
                <w:sz w:val="20"/>
                <w:szCs w:val="20"/>
              </w:rPr>
            </w:pPr>
            <w:r>
              <w:rPr>
                <w:rFonts w:hint="eastAsia" w:ascii="宋体" w:hAnsi="宋体" w:cs="宋体"/>
                <w:color w:val="000000"/>
                <w:kern w:val="0"/>
                <w:sz w:val="20"/>
                <w:szCs w:val="20"/>
              </w:rPr>
              <w:t>加快推进农牧业高质量发展且优化种植业结构调整</w:t>
            </w:r>
          </w:p>
        </w:tc>
        <w:tc>
          <w:tcPr>
            <w:tcW w:w="245" w:type="pct"/>
            <w:shd w:val="clear" w:color="auto" w:fill="auto"/>
            <w:vAlign w:val="center"/>
          </w:tcPr>
          <w:p w14:paraId="31D27956">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287" w:type="pct"/>
            <w:shd w:val="clear" w:color="auto" w:fill="auto"/>
            <w:vAlign w:val="center"/>
          </w:tcPr>
          <w:p w14:paraId="48051F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2" w:type="pct"/>
            <w:gridSpan w:val="2"/>
            <w:shd w:val="clear" w:color="auto" w:fill="auto"/>
            <w:vAlign w:val="center"/>
          </w:tcPr>
          <w:p w14:paraId="57B2ADA7">
            <w:pPr>
              <w:widowControl/>
              <w:jc w:val="center"/>
              <w:rPr>
                <w:rFonts w:ascii="宋体" w:hAnsi="宋体" w:cs="宋体"/>
                <w:color w:val="000000"/>
                <w:kern w:val="0"/>
                <w:sz w:val="20"/>
                <w:szCs w:val="20"/>
              </w:rPr>
            </w:pPr>
            <w:r>
              <w:rPr>
                <w:rFonts w:hint="eastAsia" w:ascii="宋体" w:hAnsi="宋体" w:cs="宋体"/>
                <w:color w:val="000000"/>
                <w:kern w:val="0"/>
                <w:sz w:val="20"/>
                <w:szCs w:val="20"/>
              </w:rPr>
              <w:t>及时完成年度既定目标，实现农牧业高质量发展。</w:t>
            </w:r>
          </w:p>
        </w:tc>
        <w:tc>
          <w:tcPr>
            <w:tcW w:w="566" w:type="pct"/>
            <w:gridSpan w:val="2"/>
            <w:shd w:val="clear" w:color="auto" w:fill="auto"/>
            <w:vAlign w:val="center"/>
          </w:tcPr>
          <w:p w14:paraId="6E9E9576">
            <w:pPr>
              <w:widowControl/>
              <w:jc w:val="center"/>
              <w:rPr>
                <w:rFonts w:ascii="宋体" w:hAnsi="宋体" w:cs="宋体"/>
                <w:color w:val="000000"/>
                <w:kern w:val="0"/>
                <w:sz w:val="20"/>
                <w:szCs w:val="20"/>
              </w:rPr>
            </w:pPr>
            <w:r>
              <w:rPr>
                <w:rFonts w:hint="eastAsia" w:ascii="宋体" w:hAnsi="宋体" w:cs="宋体"/>
                <w:color w:val="000000"/>
                <w:kern w:val="0"/>
                <w:sz w:val="20"/>
                <w:szCs w:val="20"/>
              </w:rPr>
              <w:t>及时完成了年度既定目标，实现农牧业高质量发展。</w:t>
            </w:r>
          </w:p>
        </w:tc>
        <w:tc>
          <w:tcPr>
            <w:tcW w:w="359" w:type="pct"/>
            <w:gridSpan w:val="2"/>
            <w:shd w:val="clear" w:color="auto" w:fill="auto"/>
            <w:vAlign w:val="center"/>
          </w:tcPr>
          <w:p w14:paraId="59DD31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85" w:type="pct"/>
            <w:shd w:val="clear" w:color="auto" w:fill="auto"/>
            <w:vAlign w:val="center"/>
          </w:tcPr>
          <w:p w14:paraId="170B007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shd w:val="clear" w:color="auto" w:fill="auto"/>
            <w:vAlign w:val="center"/>
          </w:tcPr>
          <w:p w14:paraId="6B0A5B5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31" w:type="pct"/>
            <w:gridSpan w:val="2"/>
            <w:shd w:val="clear" w:color="auto" w:fill="auto"/>
            <w:vAlign w:val="center"/>
          </w:tcPr>
          <w:p w14:paraId="01E934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4C3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8" w:type="pct"/>
            <w:vMerge w:val="continue"/>
            <w:vAlign w:val="center"/>
          </w:tcPr>
          <w:p w14:paraId="5846E140">
            <w:pPr>
              <w:widowControl/>
              <w:jc w:val="left"/>
              <w:rPr>
                <w:rFonts w:ascii="宋体" w:hAnsi="宋体" w:cs="宋体"/>
                <w:color w:val="000000"/>
                <w:kern w:val="0"/>
                <w:sz w:val="20"/>
                <w:szCs w:val="20"/>
              </w:rPr>
            </w:pPr>
          </w:p>
        </w:tc>
        <w:tc>
          <w:tcPr>
            <w:tcW w:w="357" w:type="pct"/>
            <w:vMerge w:val="continue"/>
            <w:vAlign w:val="center"/>
          </w:tcPr>
          <w:p w14:paraId="669530CC">
            <w:pPr>
              <w:widowControl/>
              <w:jc w:val="left"/>
              <w:rPr>
                <w:rFonts w:ascii="宋体" w:hAnsi="宋体" w:cs="宋体"/>
                <w:color w:val="000000"/>
                <w:kern w:val="0"/>
                <w:sz w:val="20"/>
                <w:szCs w:val="20"/>
              </w:rPr>
            </w:pPr>
          </w:p>
        </w:tc>
        <w:tc>
          <w:tcPr>
            <w:tcW w:w="479" w:type="pct"/>
            <w:shd w:val="clear" w:color="auto" w:fill="auto"/>
            <w:vAlign w:val="center"/>
          </w:tcPr>
          <w:p w14:paraId="0E001324">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w:t>
            </w:r>
          </w:p>
        </w:tc>
        <w:tc>
          <w:tcPr>
            <w:tcW w:w="632" w:type="pct"/>
            <w:gridSpan w:val="2"/>
            <w:shd w:val="clear" w:color="auto" w:fill="auto"/>
            <w:vAlign w:val="center"/>
          </w:tcPr>
          <w:p w14:paraId="2A149EAD">
            <w:pPr>
              <w:widowControl/>
              <w:jc w:val="center"/>
              <w:rPr>
                <w:rFonts w:ascii="宋体" w:hAnsi="宋体" w:cs="宋体"/>
                <w:color w:val="000000"/>
                <w:kern w:val="0"/>
                <w:sz w:val="20"/>
                <w:szCs w:val="20"/>
              </w:rPr>
            </w:pPr>
            <w:r>
              <w:rPr>
                <w:rFonts w:hint="eastAsia" w:ascii="宋体" w:hAnsi="宋体" w:cs="宋体"/>
                <w:color w:val="000000"/>
                <w:kern w:val="0"/>
                <w:sz w:val="20"/>
                <w:szCs w:val="20"/>
              </w:rPr>
              <w:t>推进全盟农牧业高质量发展的资金保障</w:t>
            </w:r>
          </w:p>
        </w:tc>
        <w:tc>
          <w:tcPr>
            <w:tcW w:w="245" w:type="pct"/>
            <w:shd w:val="clear" w:color="auto" w:fill="auto"/>
            <w:vAlign w:val="center"/>
          </w:tcPr>
          <w:p w14:paraId="0E689356">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287" w:type="pct"/>
            <w:shd w:val="clear" w:color="auto" w:fill="auto"/>
            <w:vAlign w:val="center"/>
          </w:tcPr>
          <w:p w14:paraId="142AA1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2" w:type="pct"/>
            <w:gridSpan w:val="2"/>
            <w:shd w:val="clear" w:color="auto" w:fill="auto"/>
            <w:vAlign w:val="center"/>
          </w:tcPr>
          <w:p w14:paraId="63F17EAD">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工作经费将用于农牧业工作，切实保障全年工作如期完成</w:t>
            </w:r>
          </w:p>
        </w:tc>
        <w:tc>
          <w:tcPr>
            <w:tcW w:w="566" w:type="pct"/>
            <w:gridSpan w:val="2"/>
            <w:shd w:val="clear" w:color="auto" w:fill="auto"/>
            <w:vAlign w:val="center"/>
          </w:tcPr>
          <w:p w14:paraId="67217FBE">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工作经费将用于农牧业工作，切实保障全年工作如期完成</w:t>
            </w:r>
          </w:p>
        </w:tc>
        <w:tc>
          <w:tcPr>
            <w:tcW w:w="359" w:type="pct"/>
            <w:gridSpan w:val="2"/>
            <w:shd w:val="clear" w:color="auto" w:fill="auto"/>
            <w:vAlign w:val="center"/>
          </w:tcPr>
          <w:p w14:paraId="4C5181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85" w:type="pct"/>
            <w:shd w:val="clear" w:color="auto" w:fill="auto"/>
            <w:vAlign w:val="center"/>
          </w:tcPr>
          <w:p w14:paraId="57A8052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shd w:val="clear" w:color="auto" w:fill="auto"/>
            <w:vAlign w:val="center"/>
          </w:tcPr>
          <w:p w14:paraId="4C6DC2F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31" w:type="pct"/>
            <w:gridSpan w:val="2"/>
            <w:shd w:val="clear" w:color="auto" w:fill="auto"/>
            <w:vAlign w:val="center"/>
          </w:tcPr>
          <w:p w14:paraId="691895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C7B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8" w:type="pct"/>
            <w:vMerge w:val="continue"/>
            <w:vAlign w:val="center"/>
          </w:tcPr>
          <w:p w14:paraId="71220806">
            <w:pPr>
              <w:widowControl/>
              <w:jc w:val="left"/>
              <w:rPr>
                <w:rFonts w:ascii="宋体" w:hAnsi="宋体" w:cs="宋体"/>
                <w:color w:val="000000"/>
                <w:kern w:val="0"/>
                <w:sz w:val="20"/>
                <w:szCs w:val="20"/>
              </w:rPr>
            </w:pPr>
          </w:p>
        </w:tc>
        <w:tc>
          <w:tcPr>
            <w:tcW w:w="357" w:type="pct"/>
            <w:shd w:val="clear" w:color="auto" w:fill="auto"/>
            <w:vAlign w:val="center"/>
          </w:tcPr>
          <w:p w14:paraId="169CA335">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479" w:type="pct"/>
            <w:shd w:val="clear" w:color="auto" w:fill="auto"/>
            <w:vAlign w:val="center"/>
          </w:tcPr>
          <w:p w14:paraId="4A696A35">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632" w:type="pct"/>
            <w:gridSpan w:val="2"/>
            <w:shd w:val="clear" w:color="auto" w:fill="auto"/>
            <w:vAlign w:val="center"/>
          </w:tcPr>
          <w:p w14:paraId="14E80FEC">
            <w:pPr>
              <w:widowControl/>
              <w:jc w:val="center"/>
              <w:rPr>
                <w:rFonts w:ascii="宋体" w:hAnsi="宋体" w:cs="宋体"/>
                <w:color w:val="000000"/>
                <w:kern w:val="0"/>
                <w:sz w:val="20"/>
                <w:szCs w:val="20"/>
              </w:rPr>
            </w:pPr>
            <w:r>
              <w:rPr>
                <w:rFonts w:hint="eastAsia" w:ascii="宋体" w:hAnsi="宋体" w:cs="宋体"/>
                <w:color w:val="000000"/>
                <w:kern w:val="0"/>
                <w:sz w:val="20"/>
                <w:szCs w:val="20"/>
              </w:rPr>
              <w:t>盟农牧民的认可度</w:t>
            </w:r>
          </w:p>
        </w:tc>
        <w:tc>
          <w:tcPr>
            <w:tcW w:w="245" w:type="pct"/>
            <w:shd w:val="clear" w:color="auto" w:fill="auto"/>
            <w:vAlign w:val="center"/>
          </w:tcPr>
          <w:p w14:paraId="7D7AB06D">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287" w:type="pct"/>
            <w:shd w:val="clear" w:color="auto" w:fill="auto"/>
            <w:vAlign w:val="center"/>
          </w:tcPr>
          <w:p w14:paraId="284C0FDC">
            <w:pPr>
              <w:widowControl/>
              <w:jc w:val="center"/>
              <w:rPr>
                <w:rFonts w:ascii="宋体" w:hAnsi="宋体" w:cs="宋体"/>
                <w:color w:val="000000"/>
                <w:kern w:val="0"/>
                <w:sz w:val="20"/>
                <w:szCs w:val="20"/>
              </w:rPr>
            </w:pPr>
            <w:r>
              <w:rPr>
                <w:rFonts w:hint="eastAsia" w:ascii="宋体" w:hAnsi="宋体" w:cs="宋体"/>
                <w:color w:val="000000"/>
                <w:kern w:val="0"/>
                <w:sz w:val="20"/>
                <w:szCs w:val="20"/>
              </w:rPr>
              <w:t>大于等于</w:t>
            </w:r>
          </w:p>
        </w:tc>
        <w:tc>
          <w:tcPr>
            <w:tcW w:w="642" w:type="pct"/>
            <w:gridSpan w:val="2"/>
            <w:shd w:val="clear" w:color="auto" w:fill="auto"/>
            <w:vAlign w:val="center"/>
          </w:tcPr>
          <w:p w14:paraId="2A2F1ED8">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566" w:type="pct"/>
            <w:gridSpan w:val="2"/>
            <w:shd w:val="clear" w:color="auto" w:fill="auto"/>
            <w:vAlign w:val="center"/>
          </w:tcPr>
          <w:p w14:paraId="747AFB8D">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359" w:type="pct"/>
            <w:gridSpan w:val="2"/>
            <w:shd w:val="clear" w:color="auto" w:fill="auto"/>
            <w:vAlign w:val="center"/>
          </w:tcPr>
          <w:p w14:paraId="6FDF40A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85" w:type="pct"/>
            <w:shd w:val="clear" w:color="auto" w:fill="auto"/>
            <w:vAlign w:val="center"/>
          </w:tcPr>
          <w:p w14:paraId="353D613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28" w:type="pct"/>
            <w:shd w:val="clear" w:color="auto" w:fill="auto"/>
            <w:vAlign w:val="center"/>
          </w:tcPr>
          <w:p w14:paraId="2D299DB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31" w:type="pct"/>
            <w:gridSpan w:val="2"/>
            <w:shd w:val="clear" w:color="auto" w:fill="auto"/>
            <w:vAlign w:val="center"/>
          </w:tcPr>
          <w:p w14:paraId="6035DE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35F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756" w:type="pct"/>
            <w:gridSpan w:val="13"/>
            <w:shd w:val="clear" w:color="auto" w:fill="auto"/>
            <w:vAlign w:val="center"/>
          </w:tcPr>
          <w:p w14:paraId="4FD95B3E">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285" w:type="pct"/>
            <w:shd w:val="clear" w:color="auto" w:fill="auto"/>
            <w:vAlign w:val="center"/>
          </w:tcPr>
          <w:p w14:paraId="1CD5C4D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428" w:type="pct"/>
            <w:shd w:val="clear" w:color="auto" w:fill="auto"/>
            <w:vAlign w:val="center"/>
          </w:tcPr>
          <w:p w14:paraId="30F6C1F9">
            <w:pPr>
              <w:widowControl/>
              <w:jc w:val="center"/>
              <w:rPr>
                <w:rFonts w:ascii="宋体" w:hAnsi="宋体" w:cs="宋体"/>
                <w:color w:val="000000"/>
                <w:kern w:val="0"/>
                <w:sz w:val="20"/>
                <w:szCs w:val="20"/>
              </w:rPr>
            </w:pPr>
            <w:r>
              <w:rPr>
                <w:rFonts w:hint="eastAsia" w:ascii="宋体" w:hAnsi="宋体" w:cs="宋体"/>
                <w:color w:val="000000"/>
                <w:kern w:val="0"/>
                <w:sz w:val="20"/>
                <w:szCs w:val="20"/>
              </w:rPr>
              <w:t>99.38</w:t>
            </w:r>
          </w:p>
        </w:tc>
        <w:tc>
          <w:tcPr>
            <w:tcW w:w="531" w:type="pct"/>
            <w:gridSpan w:val="2"/>
            <w:shd w:val="clear" w:color="auto" w:fill="auto"/>
            <w:vAlign w:val="center"/>
          </w:tcPr>
          <w:p w14:paraId="24E8A8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1F21BCC6">
      <w:pPr>
        <w:widowControl/>
        <w:spacing w:before="240" w:after="240"/>
        <w:ind w:firstLine="420"/>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sz w:val="32"/>
          <w:szCs w:val="32"/>
        </w:rPr>
        <w:t xml:space="preserve"> </w:t>
      </w:r>
      <w:r>
        <w:rPr>
          <w:rFonts w:hint="eastAsia" w:ascii="仿宋" w:hAnsi="仿宋" w:eastAsia="仿宋" w:cs="仿宋"/>
          <w:kern w:val="0"/>
          <w:sz w:val="32"/>
          <w:szCs w:val="32"/>
        </w:rPr>
        <w:t>内蒙古绿色农畜产品博览会经费及信息报送费项目自评综述：根据年初设定的绩效目标，项目自评得分</w:t>
      </w:r>
      <w:r>
        <w:rPr>
          <w:rFonts w:hint="eastAsia" w:ascii="仿宋" w:hAnsi="仿宋" w:eastAsia="仿宋" w:cs="仿宋"/>
          <w:kern w:val="0"/>
          <w:sz w:val="32"/>
          <w:szCs w:val="32"/>
          <w:u w:val="single"/>
        </w:rPr>
        <w:t>93.74</w:t>
      </w:r>
      <w:r>
        <w:rPr>
          <w:rFonts w:hint="eastAsia" w:ascii="仿宋" w:hAnsi="仿宋" w:eastAsia="仿宋" w:cs="仿宋"/>
          <w:kern w:val="0"/>
          <w:sz w:val="32"/>
          <w:szCs w:val="32"/>
        </w:rPr>
        <w:t>分。全年预算数为</w:t>
      </w:r>
      <w:r>
        <w:rPr>
          <w:rFonts w:hint="eastAsia" w:ascii="仿宋" w:hAnsi="仿宋" w:eastAsia="仿宋" w:cs="仿宋"/>
          <w:kern w:val="0"/>
          <w:sz w:val="32"/>
          <w:szCs w:val="32"/>
          <w:u w:val="single"/>
        </w:rPr>
        <w:t>24.00</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rPr>
        <w:t>21.29</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88.71</w:t>
      </w:r>
      <w:r>
        <w:rPr>
          <w:rFonts w:hint="eastAsia" w:ascii="仿宋" w:hAnsi="仿宋" w:eastAsia="仿宋" w:cs="仿宋"/>
          <w:kern w:val="0"/>
          <w:sz w:val="32"/>
          <w:szCs w:val="32"/>
        </w:rPr>
        <w:t>%。项目绩效目标完成情况：2023年8月1日-3日在赤峰市举办了第十届内蒙古绿色农畜产品博览会、第十一届内蒙古（蒙东）农业机械博览会，主要用于负责展区博览会展厅设计、装潢、宣传等费用，全年预算24.00万元、全年执行数21.29万元，其中委托业务费13.80万元、差旅费7.49万元。发现的主要问题及原因：绿博会社会观众数量少，采购商购买意愿不高，导致现场销售额未达到预期效果。下一步改进措施：按照农牧厅关于第十一届内蒙古绿色农畜产品博览会的相关要求，继续组织我盟优质农畜产品生产加工企业参加，通过活动，坚持创新营销模式，搭建优质绿色农畜产品供应商与采购商交流、合作、交易的平台，推进农牧业增效、促进农牧民增收，进一步提升锡林郭勒优势特色农畜产品品牌知名度和影响力，让锡林郭勒优质农畜产品走向全区、走向全国。</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43"/>
        <w:gridCol w:w="794"/>
        <w:gridCol w:w="293"/>
        <w:gridCol w:w="822"/>
        <w:gridCol w:w="229"/>
        <w:gridCol w:w="339"/>
        <w:gridCol w:w="703"/>
        <w:gridCol w:w="970"/>
        <w:gridCol w:w="1217"/>
        <w:gridCol w:w="814"/>
        <w:gridCol w:w="806"/>
        <w:gridCol w:w="834"/>
        <w:gridCol w:w="817"/>
      </w:tblGrid>
      <w:tr w14:paraId="5A0D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4"/>
            <w:shd w:val="clear" w:color="auto" w:fill="auto"/>
            <w:vAlign w:val="center"/>
          </w:tcPr>
          <w:p w14:paraId="6F8C5635">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项目支出绩效自评表(2023年度）</w:t>
            </w:r>
          </w:p>
        </w:tc>
      </w:tr>
      <w:tr w14:paraId="1080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2" w:type="pct"/>
            <w:gridSpan w:val="2"/>
            <w:shd w:val="clear" w:color="auto" w:fill="auto"/>
            <w:vAlign w:val="center"/>
          </w:tcPr>
          <w:p w14:paraId="30BEAD49">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4338" w:type="pct"/>
            <w:gridSpan w:val="12"/>
            <w:shd w:val="clear" w:color="auto" w:fill="auto"/>
            <w:vAlign w:val="center"/>
          </w:tcPr>
          <w:p w14:paraId="1FC7F672">
            <w:pPr>
              <w:widowControl/>
              <w:jc w:val="left"/>
              <w:rPr>
                <w:rFonts w:ascii="宋体" w:hAnsi="宋体" w:cs="宋体"/>
                <w:color w:val="000000"/>
                <w:kern w:val="0"/>
                <w:sz w:val="20"/>
                <w:szCs w:val="20"/>
              </w:rPr>
            </w:pPr>
            <w:r>
              <w:rPr>
                <w:rFonts w:hint="eastAsia" w:ascii="宋体" w:hAnsi="宋体" w:cs="宋体"/>
                <w:color w:val="000000"/>
                <w:kern w:val="0"/>
                <w:sz w:val="20"/>
                <w:szCs w:val="20"/>
              </w:rPr>
              <w:t>内蒙古绿色农畜产品博览会经费及信息报送费</w:t>
            </w:r>
          </w:p>
        </w:tc>
      </w:tr>
      <w:tr w14:paraId="5152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2" w:type="pct"/>
            <w:gridSpan w:val="2"/>
            <w:shd w:val="clear" w:color="auto" w:fill="auto"/>
            <w:vAlign w:val="center"/>
          </w:tcPr>
          <w:p w14:paraId="3A62BB39">
            <w:pPr>
              <w:widowControl/>
              <w:jc w:val="left"/>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2084" w:type="pct"/>
            <w:gridSpan w:val="7"/>
            <w:shd w:val="clear" w:color="auto" w:fill="auto"/>
            <w:vAlign w:val="center"/>
          </w:tcPr>
          <w:p w14:paraId="7CA1206F">
            <w:pPr>
              <w:widowControl/>
              <w:jc w:val="left"/>
              <w:rPr>
                <w:rFonts w:ascii="宋体" w:hAnsi="宋体" w:cs="宋体"/>
                <w:color w:val="000000"/>
                <w:kern w:val="0"/>
                <w:sz w:val="20"/>
                <w:szCs w:val="20"/>
              </w:rPr>
            </w:pPr>
            <w:r>
              <w:rPr>
                <w:rFonts w:hint="eastAsia" w:ascii="宋体" w:hAnsi="宋体" w:cs="宋体"/>
                <w:color w:val="000000"/>
                <w:kern w:val="0"/>
                <w:sz w:val="20"/>
                <w:szCs w:val="20"/>
              </w:rPr>
              <w:t>锡林郭勒盟农牧局（部门）</w:t>
            </w:r>
          </w:p>
        </w:tc>
        <w:tc>
          <w:tcPr>
            <w:tcW w:w="611" w:type="pct"/>
            <w:shd w:val="clear" w:color="auto" w:fill="auto"/>
            <w:vAlign w:val="center"/>
          </w:tcPr>
          <w:p w14:paraId="7E1AF020">
            <w:pPr>
              <w:widowControl/>
              <w:jc w:val="left"/>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1643" w:type="pct"/>
            <w:gridSpan w:val="4"/>
            <w:shd w:val="clear" w:color="auto" w:fill="auto"/>
            <w:vAlign w:val="center"/>
          </w:tcPr>
          <w:p w14:paraId="2C382B46">
            <w:pPr>
              <w:widowControl/>
              <w:jc w:val="left"/>
              <w:rPr>
                <w:rFonts w:ascii="宋体" w:hAnsi="宋体" w:cs="宋体"/>
                <w:color w:val="000000"/>
                <w:kern w:val="0"/>
                <w:sz w:val="20"/>
                <w:szCs w:val="20"/>
              </w:rPr>
            </w:pPr>
            <w:r>
              <w:rPr>
                <w:rFonts w:hint="eastAsia" w:ascii="宋体" w:hAnsi="宋体" w:cs="宋体"/>
                <w:color w:val="000000"/>
                <w:kern w:val="0"/>
                <w:sz w:val="20"/>
                <w:szCs w:val="20"/>
              </w:rPr>
              <w:t>锡林郭勒盟农牧局</w:t>
            </w:r>
          </w:p>
        </w:tc>
      </w:tr>
      <w:tr w14:paraId="1C80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2" w:type="pct"/>
            <w:gridSpan w:val="2"/>
            <w:vMerge w:val="restart"/>
            <w:shd w:val="clear" w:color="auto" w:fill="auto"/>
            <w:vAlign w:val="center"/>
          </w:tcPr>
          <w:p w14:paraId="285EC4E7">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546" w:type="pct"/>
            <w:gridSpan w:val="2"/>
            <w:shd w:val="clear" w:color="auto" w:fill="auto"/>
            <w:vAlign w:val="center"/>
          </w:tcPr>
          <w:p w14:paraId="2AD8B7D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shd w:val="clear" w:color="auto" w:fill="auto"/>
            <w:vAlign w:val="center"/>
          </w:tcPr>
          <w:p w14:paraId="6DCF8E0F">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年初预算数</w:t>
            </w:r>
          </w:p>
        </w:tc>
        <w:tc>
          <w:tcPr>
            <w:tcW w:w="1010" w:type="pct"/>
            <w:gridSpan w:val="3"/>
            <w:shd w:val="clear" w:color="auto" w:fill="auto"/>
            <w:vAlign w:val="center"/>
          </w:tcPr>
          <w:p w14:paraId="545353F0">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全年预算数</w:t>
            </w:r>
          </w:p>
        </w:tc>
        <w:tc>
          <w:tcPr>
            <w:tcW w:w="611" w:type="pct"/>
            <w:shd w:val="clear" w:color="auto" w:fill="auto"/>
            <w:vAlign w:val="center"/>
          </w:tcPr>
          <w:p w14:paraId="3A5E44B8">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全年执行数</w:t>
            </w:r>
          </w:p>
        </w:tc>
        <w:tc>
          <w:tcPr>
            <w:tcW w:w="409" w:type="pct"/>
            <w:shd w:val="clear" w:color="auto" w:fill="auto"/>
            <w:vAlign w:val="center"/>
          </w:tcPr>
          <w:p w14:paraId="19169981">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824" w:type="pct"/>
            <w:gridSpan w:val="2"/>
            <w:shd w:val="clear" w:color="auto" w:fill="auto"/>
            <w:vAlign w:val="center"/>
          </w:tcPr>
          <w:p w14:paraId="27318D79">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执行率（%）</w:t>
            </w:r>
          </w:p>
        </w:tc>
        <w:tc>
          <w:tcPr>
            <w:tcW w:w="411" w:type="pct"/>
            <w:shd w:val="clear" w:color="auto" w:fill="auto"/>
            <w:vAlign w:val="center"/>
          </w:tcPr>
          <w:p w14:paraId="7B25128E">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r>
      <w:tr w14:paraId="628C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2" w:type="pct"/>
            <w:gridSpan w:val="2"/>
            <w:vMerge w:val="continue"/>
            <w:vAlign w:val="center"/>
          </w:tcPr>
          <w:p w14:paraId="730E6CC4">
            <w:pPr>
              <w:widowControl/>
              <w:jc w:val="left"/>
              <w:rPr>
                <w:rFonts w:ascii="宋体" w:hAnsi="宋体" w:cs="宋体"/>
                <w:color w:val="000000"/>
                <w:kern w:val="0"/>
                <w:sz w:val="20"/>
                <w:szCs w:val="20"/>
              </w:rPr>
            </w:pPr>
          </w:p>
        </w:tc>
        <w:tc>
          <w:tcPr>
            <w:tcW w:w="546" w:type="pct"/>
            <w:gridSpan w:val="2"/>
            <w:shd w:val="clear" w:color="auto" w:fill="auto"/>
            <w:vAlign w:val="center"/>
          </w:tcPr>
          <w:p w14:paraId="1A5A8B3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528" w:type="pct"/>
            <w:gridSpan w:val="2"/>
            <w:shd w:val="clear" w:color="auto" w:fill="auto"/>
            <w:vAlign w:val="center"/>
          </w:tcPr>
          <w:p w14:paraId="54E7B8CA">
            <w:pPr>
              <w:widowControl/>
              <w:jc w:val="right"/>
              <w:rPr>
                <w:rFonts w:ascii="宋体" w:hAnsi="宋体" w:cs="宋体"/>
                <w:color w:val="000000"/>
                <w:kern w:val="0"/>
                <w:sz w:val="20"/>
                <w:szCs w:val="20"/>
              </w:rPr>
            </w:pPr>
            <w:r>
              <w:rPr>
                <w:rFonts w:hint="eastAsia" w:ascii="宋体" w:hAnsi="宋体" w:cs="宋体"/>
                <w:color w:val="000000"/>
                <w:kern w:val="0"/>
                <w:sz w:val="20"/>
                <w:szCs w:val="20"/>
              </w:rPr>
              <w:t>24.00</w:t>
            </w:r>
          </w:p>
        </w:tc>
        <w:tc>
          <w:tcPr>
            <w:tcW w:w="1010" w:type="pct"/>
            <w:gridSpan w:val="3"/>
            <w:shd w:val="clear" w:color="auto" w:fill="auto"/>
            <w:vAlign w:val="center"/>
          </w:tcPr>
          <w:p w14:paraId="1C30E803">
            <w:pPr>
              <w:widowControl/>
              <w:jc w:val="right"/>
              <w:rPr>
                <w:rFonts w:ascii="宋体" w:hAnsi="宋体" w:cs="宋体"/>
                <w:color w:val="000000"/>
                <w:kern w:val="0"/>
                <w:sz w:val="20"/>
                <w:szCs w:val="20"/>
              </w:rPr>
            </w:pPr>
            <w:r>
              <w:rPr>
                <w:rFonts w:hint="eastAsia" w:ascii="宋体" w:hAnsi="宋体" w:cs="宋体"/>
                <w:color w:val="000000"/>
                <w:kern w:val="0"/>
                <w:sz w:val="20"/>
                <w:szCs w:val="20"/>
              </w:rPr>
              <w:t>24.00</w:t>
            </w:r>
          </w:p>
        </w:tc>
        <w:tc>
          <w:tcPr>
            <w:tcW w:w="611" w:type="pct"/>
            <w:shd w:val="clear" w:color="auto" w:fill="auto"/>
            <w:vAlign w:val="center"/>
          </w:tcPr>
          <w:p w14:paraId="328EDCB0">
            <w:pPr>
              <w:widowControl/>
              <w:jc w:val="right"/>
              <w:rPr>
                <w:rFonts w:ascii="宋体" w:hAnsi="宋体" w:cs="宋体"/>
                <w:color w:val="000000"/>
                <w:kern w:val="0"/>
                <w:sz w:val="20"/>
                <w:szCs w:val="20"/>
              </w:rPr>
            </w:pPr>
            <w:r>
              <w:rPr>
                <w:rFonts w:hint="eastAsia" w:ascii="宋体" w:hAnsi="宋体" w:cs="宋体"/>
                <w:color w:val="000000"/>
                <w:kern w:val="0"/>
                <w:sz w:val="20"/>
                <w:szCs w:val="20"/>
              </w:rPr>
              <w:t>21.29</w:t>
            </w:r>
          </w:p>
        </w:tc>
        <w:tc>
          <w:tcPr>
            <w:tcW w:w="409" w:type="pct"/>
            <w:shd w:val="clear" w:color="auto" w:fill="auto"/>
            <w:vAlign w:val="center"/>
          </w:tcPr>
          <w:p w14:paraId="68A85FAD">
            <w:pPr>
              <w:widowControl/>
              <w:jc w:val="right"/>
              <w:rPr>
                <w:rFonts w:ascii="宋体" w:hAnsi="宋体" w:cs="宋体"/>
                <w:color w:val="000000"/>
                <w:kern w:val="0"/>
                <w:sz w:val="20"/>
                <w:szCs w:val="20"/>
              </w:rPr>
            </w:pPr>
            <w:r>
              <w:rPr>
                <w:rFonts w:hint="eastAsia" w:ascii="宋体" w:hAnsi="宋体" w:cs="宋体"/>
                <w:color w:val="000000"/>
                <w:kern w:val="0"/>
                <w:sz w:val="20"/>
                <w:szCs w:val="20"/>
              </w:rPr>
              <w:t>10</w:t>
            </w:r>
          </w:p>
        </w:tc>
        <w:tc>
          <w:tcPr>
            <w:tcW w:w="824" w:type="pct"/>
            <w:gridSpan w:val="2"/>
            <w:shd w:val="clear" w:color="auto" w:fill="auto"/>
            <w:vAlign w:val="center"/>
          </w:tcPr>
          <w:p w14:paraId="34B7DC76">
            <w:pPr>
              <w:widowControl/>
              <w:jc w:val="right"/>
              <w:rPr>
                <w:rFonts w:ascii="宋体" w:hAnsi="宋体" w:cs="宋体"/>
                <w:color w:val="000000"/>
                <w:kern w:val="0"/>
                <w:sz w:val="20"/>
                <w:szCs w:val="20"/>
              </w:rPr>
            </w:pPr>
            <w:r>
              <w:rPr>
                <w:rFonts w:hint="eastAsia" w:ascii="宋体" w:hAnsi="宋体" w:cs="宋体"/>
                <w:color w:val="000000"/>
                <w:kern w:val="0"/>
                <w:sz w:val="20"/>
                <w:szCs w:val="20"/>
              </w:rPr>
              <w:t>88.71</w:t>
            </w:r>
          </w:p>
        </w:tc>
        <w:tc>
          <w:tcPr>
            <w:tcW w:w="411" w:type="pct"/>
            <w:shd w:val="clear" w:color="auto" w:fill="auto"/>
            <w:vAlign w:val="center"/>
          </w:tcPr>
          <w:p w14:paraId="2C18DB35">
            <w:pPr>
              <w:widowControl/>
              <w:jc w:val="right"/>
              <w:rPr>
                <w:rFonts w:ascii="宋体" w:hAnsi="宋体" w:cs="宋体"/>
                <w:color w:val="000000"/>
                <w:kern w:val="0"/>
                <w:sz w:val="20"/>
                <w:szCs w:val="20"/>
              </w:rPr>
            </w:pPr>
            <w:r>
              <w:rPr>
                <w:rFonts w:hint="eastAsia" w:ascii="宋体" w:hAnsi="宋体" w:cs="宋体"/>
                <w:color w:val="000000"/>
                <w:kern w:val="0"/>
                <w:sz w:val="20"/>
                <w:szCs w:val="20"/>
              </w:rPr>
              <w:t>8.87</w:t>
            </w:r>
          </w:p>
        </w:tc>
      </w:tr>
      <w:tr w14:paraId="125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2" w:type="pct"/>
            <w:gridSpan w:val="2"/>
            <w:vMerge w:val="continue"/>
            <w:vAlign w:val="center"/>
          </w:tcPr>
          <w:p w14:paraId="6EC6DF2F">
            <w:pPr>
              <w:widowControl/>
              <w:jc w:val="left"/>
              <w:rPr>
                <w:rFonts w:ascii="宋体" w:hAnsi="宋体" w:cs="宋体"/>
                <w:color w:val="000000"/>
                <w:kern w:val="0"/>
                <w:sz w:val="20"/>
                <w:szCs w:val="20"/>
              </w:rPr>
            </w:pPr>
          </w:p>
        </w:tc>
        <w:tc>
          <w:tcPr>
            <w:tcW w:w="546" w:type="pct"/>
            <w:gridSpan w:val="2"/>
            <w:shd w:val="clear" w:color="auto" w:fill="auto"/>
            <w:vAlign w:val="center"/>
          </w:tcPr>
          <w:p w14:paraId="2A5B752B">
            <w:pPr>
              <w:widowControl/>
              <w:jc w:val="left"/>
              <w:rPr>
                <w:rFonts w:ascii="宋体" w:hAnsi="宋体" w:cs="宋体"/>
                <w:color w:val="000000"/>
                <w:kern w:val="0"/>
                <w:sz w:val="20"/>
                <w:szCs w:val="20"/>
              </w:rPr>
            </w:pPr>
            <w:r>
              <w:rPr>
                <w:rFonts w:hint="eastAsia" w:ascii="宋体" w:hAnsi="宋体" w:cs="宋体"/>
                <w:color w:val="000000"/>
                <w:kern w:val="0"/>
                <w:sz w:val="20"/>
                <w:szCs w:val="20"/>
              </w:rPr>
              <w:t>其中：财政拨款</w:t>
            </w:r>
          </w:p>
        </w:tc>
        <w:tc>
          <w:tcPr>
            <w:tcW w:w="528" w:type="pct"/>
            <w:gridSpan w:val="2"/>
            <w:shd w:val="clear" w:color="auto" w:fill="auto"/>
            <w:vAlign w:val="center"/>
          </w:tcPr>
          <w:p w14:paraId="5F2BF922">
            <w:pPr>
              <w:widowControl/>
              <w:jc w:val="right"/>
              <w:rPr>
                <w:rFonts w:ascii="宋体" w:hAnsi="宋体" w:cs="宋体"/>
                <w:color w:val="000000"/>
                <w:kern w:val="0"/>
                <w:sz w:val="20"/>
                <w:szCs w:val="20"/>
              </w:rPr>
            </w:pPr>
            <w:r>
              <w:rPr>
                <w:rFonts w:hint="eastAsia" w:ascii="宋体" w:hAnsi="宋体" w:cs="宋体"/>
                <w:color w:val="000000"/>
                <w:kern w:val="0"/>
                <w:sz w:val="20"/>
                <w:szCs w:val="20"/>
              </w:rPr>
              <w:t>24.00</w:t>
            </w:r>
          </w:p>
        </w:tc>
        <w:tc>
          <w:tcPr>
            <w:tcW w:w="1010" w:type="pct"/>
            <w:gridSpan w:val="3"/>
            <w:shd w:val="clear" w:color="auto" w:fill="auto"/>
            <w:vAlign w:val="center"/>
          </w:tcPr>
          <w:p w14:paraId="54371ED5">
            <w:pPr>
              <w:widowControl/>
              <w:jc w:val="right"/>
              <w:rPr>
                <w:rFonts w:ascii="宋体" w:hAnsi="宋体" w:cs="宋体"/>
                <w:color w:val="000000"/>
                <w:kern w:val="0"/>
                <w:sz w:val="20"/>
                <w:szCs w:val="20"/>
              </w:rPr>
            </w:pPr>
            <w:r>
              <w:rPr>
                <w:rFonts w:hint="eastAsia" w:ascii="宋体" w:hAnsi="宋体" w:cs="宋体"/>
                <w:color w:val="000000"/>
                <w:kern w:val="0"/>
                <w:sz w:val="20"/>
                <w:szCs w:val="20"/>
              </w:rPr>
              <w:t>24.00</w:t>
            </w:r>
          </w:p>
        </w:tc>
        <w:tc>
          <w:tcPr>
            <w:tcW w:w="611" w:type="pct"/>
            <w:shd w:val="clear" w:color="auto" w:fill="auto"/>
            <w:vAlign w:val="center"/>
          </w:tcPr>
          <w:p w14:paraId="61EB41E3">
            <w:pPr>
              <w:widowControl/>
              <w:jc w:val="right"/>
              <w:rPr>
                <w:rFonts w:ascii="宋体" w:hAnsi="宋体" w:cs="宋体"/>
                <w:color w:val="000000"/>
                <w:kern w:val="0"/>
                <w:sz w:val="20"/>
                <w:szCs w:val="20"/>
              </w:rPr>
            </w:pPr>
            <w:r>
              <w:rPr>
                <w:rFonts w:hint="eastAsia" w:ascii="宋体" w:hAnsi="宋体" w:cs="宋体"/>
                <w:color w:val="000000"/>
                <w:kern w:val="0"/>
                <w:sz w:val="20"/>
                <w:szCs w:val="20"/>
              </w:rPr>
              <w:t>21.29</w:t>
            </w:r>
          </w:p>
        </w:tc>
        <w:tc>
          <w:tcPr>
            <w:tcW w:w="409" w:type="pct"/>
            <w:shd w:val="clear" w:color="auto" w:fill="auto"/>
            <w:noWrap/>
            <w:vAlign w:val="center"/>
          </w:tcPr>
          <w:p w14:paraId="4F05C9AE">
            <w:pPr>
              <w:widowControl/>
              <w:jc w:val="right"/>
              <w:rPr>
                <w:rFonts w:ascii="Arial" w:hAnsi="Arial" w:cs="Arial"/>
                <w:color w:val="222222"/>
                <w:kern w:val="0"/>
                <w:sz w:val="20"/>
                <w:szCs w:val="20"/>
              </w:rPr>
            </w:pPr>
            <w:r>
              <w:rPr>
                <w:rFonts w:ascii="Arial" w:hAnsi="Arial" w:cs="Arial"/>
                <w:color w:val="222222"/>
                <w:kern w:val="0"/>
                <w:sz w:val="20"/>
                <w:szCs w:val="20"/>
              </w:rPr>
              <w:t>——</w:t>
            </w:r>
          </w:p>
        </w:tc>
        <w:tc>
          <w:tcPr>
            <w:tcW w:w="824" w:type="pct"/>
            <w:gridSpan w:val="2"/>
            <w:shd w:val="clear" w:color="auto" w:fill="auto"/>
            <w:vAlign w:val="center"/>
          </w:tcPr>
          <w:p w14:paraId="7189FD60">
            <w:pPr>
              <w:widowControl/>
              <w:jc w:val="right"/>
              <w:rPr>
                <w:rFonts w:ascii="宋体" w:hAnsi="宋体" w:cs="宋体"/>
                <w:color w:val="000000"/>
                <w:kern w:val="0"/>
                <w:sz w:val="20"/>
                <w:szCs w:val="20"/>
              </w:rPr>
            </w:pPr>
            <w:r>
              <w:rPr>
                <w:rFonts w:hint="eastAsia" w:ascii="宋体" w:hAnsi="宋体" w:cs="宋体"/>
                <w:color w:val="000000"/>
                <w:kern w:val="0"/>
                <w:sz w:val="20"/>
                <w:szCs w:val="20"/>
              </w:rPr>
              <w:t>88.71</w:t>
            </w:r>
          </w:p>
        </w:tc>
        <w:tc>
          <w:tcPr>
            <w:tcW w:w="411" w:type="pct"/>
            <w:shd w:val="clear" w:color="auto" w:fill="auto"/>
            <w:noWrap/>
            <w:vAlign w:val="center"/>
          </w:tcPr>
          <w:p w14:paraId="44A0E7CA">
            <w:pPr>
              <w:widowControl/>
              <w:jc w:val="right"/>
              <w:rPr>
                <w:rFonts w:ascii="Arial" w:hAnsi="Arial" w:cs="Arial"/>
                <w:color w:val="222222"/>
                <w:kern w:val="0"/>
                <w:sz w:val="20"/>
                <w:szCs w:val="20"/>
              </w:rPr>
            </w:pPr>
            <w:r>
              <w:rPr>
                <w:rFonts w:ascii="Arial" w:hAnsi="Arial" w:cs="Arial"/>
                <w:color w:val="222222"/>
                <w:kern w:val="0"/>
                <w:sz w:val="20"/>
                <w:szCs w:val="20"/>
              </w:rPr>
              <w:t>——</w:t>
            </w:r>
          </w:p>
        </w:tc>
      </w:tr>
      <w:tr w14:paraId="175D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2" w:type="pct"/>
            <w:gridSpan w:val="2"/>
            <w:vMerge w:val="continue"/>
            <w:vAlign w:val="center"/>
          </w:tcPr>
          <w:p w14:paraId="680ACFD7">
            <w:pPr>
              <w:widowControl/>
              <w:jc w:val="left"/>
              <w:rPr>
                <w:rFonts w:ascii="宋体" w:hAnsi="宋体" w:cs="宋体"/>
                <w:color w:val="000000"/>
                <w:kern w:val="0"/>
                <w:sz w:val="20"/>
                <w:szCs w:val="20"/>
              </w:rPr>
            </w:pPr>
          </w:p>
        </w:tc>
        <w:tc>
          <w:tcPr>
            <w:tcW w:w="546" w:type="pct"/>
            <w:gridSpan w:val="2"/>
            <w:shd w:val="clear" w:color="auto" w:fill="auto"/>
            <w:vAlign w:val="center"/>
          </w:tcPr>
          <w:p w14:paraId="2EFEA857">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上年结转资金</w:t>
            </w:r>
          </w:p>
        </w:tc>
        <w:tc>
          <w:tcPr>
            <w:tcW w:w="528" w:type="pct"/>
            <w:gridSpan w:val="2"/>
            <w:shd w:val="clear" w:color="auto" w:fill="auto"/>
            <w:vAlign w:val="center"/>
          </w:tcPr>
          <w:p w14:paraId="404E0164">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10" w:type="pct"/>
            <w:gridSpan w:val="3"/>
            <w:shd w:val="clear" w:color="auto" w:fill="auto"/>
            <w:vAlign w:val="center"/>
          </w:tcPr>
          <w:p w14:paraId="6D568A13">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611" w:type="pct"/>
            <w:shd w:val="clear" w:color="auto" w:fill="auto"/>
            <w:vAlign w:val="center"/>
          </w:tcPr>
          <w:p w14:paraId="7300F8B3">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409" w:type="pct"/>
            <w:shd w:val="clear" w:color="auto" w:fill="auto"/>
            <w:noWrap/>
            <w:vAlign w:val="center"/>
          </w:tcPr>
          <w:p w14:paraId="5C5C1EA2">
            <w:pPr>
              <w:widowControl/>
              <w:jc w:val="right"/>
              <w:rPr>
                <w:rFonts w:ascii="Arial" w:hAnsi="Arial" w:cs="Arial"/>
                <w:color w:val="222222"/>
                <w:kern w:val="0"/>
                <w:sz w:val="20"/>
                <w:szCs w:val="20"/>
              </w:rPr>
            </w:pPr>
            <w:r>
              <w:rPr>
                <w:rFonts w:ascii="Arial" w:hAnsi="Arial" w:cs="Arial"/>
                <w:color w:val="222222"/>
                <w:kern w:val="0"/>
                <w:sz w:val="20"/>
                <w:szCs w:val="20"/>
              </w:rPr>
              <w:t>——</w:t>
            </w:r>
          </w:p>
        </w:tc>
        <w:tc>
          <w:tcPr>
            <w:tcW w:w="824" w:type="pct"/>
            <w:gridSpan w:val="2"/>
            <w:shd w:val="clear" w:color="auto" w:fill="auto"/>
            <w:vAlign w:val="center"/>
          </w:tcPr>
          <w:p w14:paraId="4B982CA2">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411" w:type="pct"/>
            <w:shd w:val="clear" w:color="auto" w:fill="auto"/>
            <w:noWrap/>
            <w:vAlign w:val="center"/>
          </w:tcPr>
          <w:p w14:paraId="52038248">
            <w:pPr>
              <w:widowControl/>
              <w:jc w:val="right"/>
              <w:rPr>
                <w:rFonts w:ascii="Arial" w:hAnsi="Arial" w:cs="Arial"/>
                <w:color w:val="222222"/>
                <w:kern w:val="0"/>
                <w:sz w:val="20"/>
                <w:szCs w:val="20"/>
              </w:rPr>
            </w:pPr>
            <w:r>
              <w:rPr>
                <w:rFonts w:ascii="Arial" w:hAnsi="Arial" w:cs="Arial"/>
                <w:color w:val="222222"/>
                <w:kern w:val="0"/>
                <w:sz w:val="20"/>
                <w:szCs w:val="20"/>
              </w:rPr>
              <w:t>——</w:t>
            </w:r>
          </w:p>
        </w:tc>
      </w:tr>
      <w:tr w14:paraId="7266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2" w:type="pct"/>
            <w:gridSpan w:val="2"/>
            <w:vMerge w:val="continue"/>
            <w:vAlign w:val="center"/>
          </w:tcPr>
          <w:p w14:paraId="72A67807">
            <w:pPr>
              <w:widowControl/>
              <w:jc w:val="left"/>
              <w:rPr>
                <w:rFonts w:ascii="宋体" w:hAnsi="宋体" w:cs="宋体"/>
                <w:color w:val="000000"/>
                <w:kern w:val="0"/>
                <w:sz w:val="20"/>
                <w:szCs w:val="20"/>
              </w:rPr>
            </w:pPr>
          </w:p>
        </w:tc>
        <w:tc>
          <w:tcPr>
            <w:tcW w:w="546" w:type="pct"/>
            <w:gridSpan w:val="2"/>
            <w:shd w:val="clear" w:color="auto" w:fill="auto"/>
            <w:vAlign w:val="center"/>
          </w:tcPr>
          <w:p w14:paraId="515C7B38">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其他资金</w:t>
            </w:r>
          </w:p>
        </w:tc>
        <w:tc>
          <w:tcPr>
            <w:tcW w:w="528" w:type="pct"/>
            <w:gridSpan w:val="2"/>
            <w:shd w:val="clear" w:color="auto" w:fill="auto"/>
            <w:vAlign w:val="center"/>
          </w:tcPr>
          <w:p w14:paraId="61544F58">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10" w:type="pct"/>
            <w:gridSpan w:val="3"/>
            <w:shd w:val="clear" w:color="auto" w:fill="auto"/>
            <w:vAlign w:val="center"/>
          </w:tcPr>
          <w:p w14:paraId="2BFD16EF">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611" w:type="pct"/>
            <w:shd w:val="clear" w:color="auto" w:fill="auto"/>
            <w:vAlign w:val="center"/>
          </w:tcPr>
          <w:p w14:paraId="063DAD9A">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409" w:type="pct"/>
            <w:shd w:val="clear" w:color="auto" w:fill="auto"/>
            <w:noWrap/>
            <w:vAlign w:val="center"/>
          </w:tcPr>
          <w:p w14:paraId="1DB7AC67">
            <w:pPr>
              <w:widowControl/>
              <w:jc w:val="right"/>
              <w:rPr>
                <w:rFonts w:ascii="Arial" w:hAnsi="Arial" w:cs="Arial"/>
                <w:color w:val="222222"/>
                <w:kern w:val="0"/>
                <w:sz w:val="20"/>
                <w:szCs w:val="20"/>
              </w:rPr>
            </w:pPr>
            <w:r>
              <w:rPr>
                <w:rFonts w:ascii="Arial" w:hAnsi="Arial" w:cs="Arial"/>
                <w:color w:val="222222"/>
                <w:kern w:val="0"/>
                <w:sz w:val="20"/>
                <w:szCs w:val="20"/>
              </w:rPr>
              <w:t>——</w:t>
            </w:r>
          </w:p>
        </w:tc>
        <w:tc>
          <w:tcPr>
            <w:tcW w:w="824" w:type="pct"/>
            <w:gridSpan w:val="2"/>
            <w:shd w:val="clear" w:color="auto" w:fill="auto"/>
            <w:vAlign w:val="center"/>
          </w:tcPr>
          <w:p w14:paraId="474A5222">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411" w:type="pct"/>
            <w:shd w:val="clear" w:color="auto" w:fill="auto"/>
            <w:noWrap/>
            <w:vAlign w:val="center"/>
          </w:tcPr>
          <w:p w14:paraId="361ACD22">
            <w:pPr>
              <w:widowControl/>
              <w:jc w:val="right"/>
              <w:rPr>
                <w:rFonts w:ascii="Arial" w:hAnsi="Arial" w:cs="Arial"/>
                <w:color w:val="222222"/>
                <w:kern w:val="0"/>
                <w:sz w:val="20"/>
                <w:szCs w:val="20"/>
              </w:rPr>
            </w:pPr>
            <w:r>
              <w:rPr>
                <w:rFonts w:ascii="Arial" w:hAnsi="Arial" w:cs="Arial"/>
                <w:color w:val="222222"/>
                <w:kern w:val="0"/>
                <w:sz w:val="20"/>
                <w:szCs w:val="20"/>
              </w:rPr>
              <w:t>——</w:t>
            </w:r>
          </w:p>
        </w:tc>
      </w:tr>
      <w:tr w14:paraId="3DC8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2" w:type="pct"/>
            <w:gridSpan w:val="2"/>
            <w:vMerge w:val="restart"/>
            <w:shd w:val="clear" w:color="auto" w:fill="auto"/>
            <w:vAlign w:val="center"/>
          </w:tcPr>
          <w:p w14:paraId="3421B945">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w:t>
            </w:r>
          </w:p>
        </w:tc>
        <w:tc>
          <w:tcPr>
            <w:tcW w:w="2084" w:type="pct"/>
            <w:gridSpan w:val="7"/>
            <w:shd w:val="clear" w:color="auto" w:fill="auto"/>
            <w:vAlign w:val="center"/>
          </w:tcPr>
          <w:p w14:paraId="73CB3170">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2254" w:type="pct"/>
            <w:gridSpan w:val="5"/>
            <w:shd w:val="clear" w:color="auto" w:fill="auto"/>
            <w:vAlign w:val="center"/>
          </w:tcPr>
          <w:p w14:paraId="24D214C2">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实际完成情况</w:t>
            </w:r>
          </w:p>
        </w:tc>
      </w:tr>
      <w:tr w14:paraId="51D5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62" w:type="pct"/>
            <w:gridSpan w:val="2"/>
            <w:vMerge w:val="continue"/>
            <w:vAlign w:val="center"/>
          </w:tcPr>
          <w:p w14:paraId="0234294A">
            <w:pPr>
              <w:widowControl/>
              <w:jc w:val="left"/>
              <w:rPr>
                <w:rFonts w:ascii="宋体" w:hAnsi="宋体" w:cs="宋体"/>
                <w:color w:val="000000"/>
                <w:kern w:val="0"/>
                <w:sz w:val="20"/>
                <w:szCs w:val="20"/>
              </w:rPr>
            </w:pPr>
          </w:p>
        </w:tc>
        <w:tc>
          <w:tcPr>
            <w:tcW w:w="2084" w:type="pct"/>
            <w:gridSpan w:val="7"/>
            <w:shd w:val="clear" w:color="auto" w:fill="auto"/>
            <w:vAlign w:val="center"/>
          </w:tcPr>
          <w:p w14:paraId="38DF2B37">
            <w:pPr>
              <w:widowControl/>
              <w:jc w:val="center"/>
              <w:rPr>
                <w:rFonts w:ascii="宋体" w:hAnsi="宋体" w:cs="宋体"/>
                <w:color w:val="000000"/>
                <w:kern w:val="0"/>
                <w:sz w:val="20"/>
                <w:szCs w:val="20"/>
              </w:rPr>
            </w:pPr>
            <w:r>
              <w:rPr>
                <w:rFonts w:hint="eastAsia" w:ascii="宋体" w:hAnsi="宋体" w:cs="宋体"/>
                <w:color w:val="000000"/>
                <w:kern w:val="0"/>
                <w:sz w:val="20"/>
                <w:szCs w:val="20"/>
              </w:rPr>
              <w:t>自治区政府将举办全区绿色农畜产品博览会作为打造绿色农畜产品生产加工输出基地的重要工作固定下来每年举办。展会由自治区政府搭建平台，盟市负责展区博览会展厅设计、装潢、宣传等费用，我盟计划组织40家龙头企业及农牧民专业合作社组团参展。</w:t>
            </w:r>
          </w:p>
        </w:tc>
        <w:tc>
          <w:tcPr>
            <w:tcW w:w="2254" w:type="pct"/>
            <w:gridSpan w:val="5"/>
            <w:shd w:val="clear" w:color="auto" w:fill="auto"/>
            <w:vAlign w:val="center"/>
          </w:tcPr>
          <w:p w14:paraId="1CDA5817">
            <w:pPr>
              <w:widowControl/>
              <w:jc w:val="center"/>
              <w:rPr>
                <w:rFonts w:ascii="宋体" w:hAnsi="宋体" w:cs="宋体"/>
                <w:color w:val="000000"/>
                <w:kern w:val="0"/>
                <w:sz w:val="20"/>
                <w:szCs w:val="20"/>
              </w:rPr>
            </w:pPr>
            <w:r>
              <w:rPr>
                <w:rFonts w:hint="eastAsia" w:ascii="宋体" w:hAnsi="宋体" w:cs="宋体"/>
                <w:color w:val="000000"/>
                <w:kern w:val="0"/>
                <w:sz w:val="20"/>
                <w:szCs w:val="20"/>
              </w:rPr>
              <w:t>2023年8月1日-3日在赤峰市举办了第十届内蒙古绿色农畜产品博览会、第十一届内蒙古（蒙东）农业机械博览会，主要用于负责展区博览会展厅设计、装潢、宣传等费用，年初预算240000元、全年预算240000元、全年执行数212,856.92元，其中委托业务费138,000.00元、差旅费74,856.92元</w:t>
            </w:r>
          </w:p>
        </w:tc>
      </w:tr>
      <w:tr w14:paraId="30E0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39" w:type="pct"/>
            <w:shd w:val="clear" w:color="auto" w:fill="auto"/>
            <w:vAlign w:val="center"/>
          </w:tcPr>
          <w:p w14:paraId="16465706">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322" w:type="pct"/>
            <w:shd w:val="clear" w:color="auto" w:fill="auto"/>
            <w:vAlign w:val="center"/>
          </w:tcPr>
          <w:p w14:paraId="557F6ABA">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399" w:type="pct"/>
            <w:shd w:val="clear" w:color="auto" w:fill="auto"/>
            <w:vAlign w:val="center"/>
          </w:tcPr>
          <w:p w14:paraId="0D8BC28E">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560" w:type="pct"/>
            <w:gridSpan w:val="2"/>
            <w:shd w:val="clear" w:color="auto" w:fill="auto"/>
            <w:vAlign w:val="center"/>
          </w:tcPr>
          <w:p w14:paraId="250DF5F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285" w:type="pct"/>
            <w:gridSpan w:val="2"/>
            <w:shd w:val="clear" w:color="auto" w:fill="auto"/>
            <w:vAlign w:val="center"/>
          </w:tcPr>
          <w:p w14:paraId="610CEEB9">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指标性质</w:t>
            </w:r>
          </w:p>
        </w:tc>
        <w:tc>
          <w:tcPr>
            <w:tcW w:w="353" w:type="pct"/>
            <w:shd w:val="clear" w:color="auto" w:fill="auto"/>
            <w:vAlign w:val="center"/>
          </w:tcPr>
          <w:p w14:paraId="39BD6C4D">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指标方向</w:t>
            </w:r>
          </w:p>
        </w:tc>
        <w:tc>
          <w:tcPr>
            <w:tcW w:w="487" w:type="pct"/>
            <w:shd w:val="clear" w:color="auto" w:fill="auto"/>
            <w:vAlign w:val="center"/>
          </w:tcPr>
          <w:p w14:paraId="23825DC2">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611" w:type="pct"/>
            <w:shd w:val="clear" w:color="auto" w:fill="auto"/>
            <w:vAlign w:val="center"/>
          </w:tcPr>
          <w:p w14:paraId="530A92DB">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实际完成值</w:t>
            </w:r>
          </w:p>
        </w:tc>
        <w:tc>
          <w:tcPr>
            <w:tcW w:w="409" w:type="pct"/>
            <w:shd w:val="clear" w:color="auto" w:fill="auto"/>
            <w:vAlign w:val="center"/>
          </w:tcPr>
          <w:p w14:paraId="4045D3FE">
            <w:pPr>
              <w:widowControl/>
              <w:jc w:val="center"/>
              <w:rPr>
                <w:rFonts w:ascii="宋体" w:hAnsi="宋体" w:cs="宋体"/>
                <w:color w:val="000000"/>
                <w:kern w:val="0"/>
                <w:sz w:val="20"/>
                <w:szCs w:val="20"/>
              </w:rPr>
            </w:pPr>
            <w:r>
              <w:rPr>
                <w:rFonts w:hint="eastAsia" w:ascii="宋体" w:hAnsi="宋体" w:cs="宋体"/>
                <w:color w:val="000000"/>
                <w:kern w:val="0"/>
                <w:sz w:val="20"/>
                <w:szCs w:val="20"/>
              </w:rPr>
              <w:t>计量单位</w:t>
            </w:r>
          </w:p>
        </w:tc>
        <w:tc>
          <w:tcPr>
            <w:tcW w:w="405" w:type="pct"/>
            <w:shd w:val="clear" w:color="auto" w:fill="auto"/>
            <w:vAlign w:val="center"/>
          </w:tcPr>
          <w:p w14:paraId="0A4CADC1">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419" w:type="pct"/>
            <w:shd w:val="clear" w:color="auto" w:fill="auto"/>
            <w:vAlign w:val="center"/>
          </w:tcPr>
          <w:p w14:paraId="4B997B3A">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411" w:type="pct"/>
            <w:shd w:val="clear" w:color="auto" w:fill="auto"/>
            <w:vAlign w:val="center"/>
          </w:tcPr>
          <w:p w14:paraId="132827B5">
            <w:pPr>
              <w:widowControl/>
              <w:jc w:val="left"/>
              <w:rPr>
                <w:rFonts w:ascii="宋体" w:hAnsi="宋体" w:cs="宋体"/>
                <w:color w:val="000000"/>
                <w:kern w:val="0"/>
                <w:sz w:val="20"/>
                <w:szCs w:val="20"/>
              </w:rPr>
            </w:pPr>
            <w:r>
              <w:rPr>
                <w:rFonts w:hint="eastAsia" w:ascii="宋体" w:hAnsi="宋体" w:cs="宋体"/>
                <w:color w:val="000000"/>
                <w:kern w:val="0"/>
                <w:sz w:val="20"/>
                <w:szCs w:val="20"/>
              </w:rPr>
              <w:t>偏差原因分析及改进措施</w:t>
            </w:r>
          </w:p>
        </w:tc>
      </w:tr>
      <w:tr w14:paraId="75B0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restart"/>
            <w:shd w:val="clear" w:color="auto" w:fill="auto"/>
            <w:vAlign w:val="center"/>
          </w:tcPr>
          <w:p w14:paraId="0601F1B1">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322" w:type="pct"/>
            <w:vMerge w:val="restart"/>
            <w:shd w:val="clear" w:color="auto" w:fill="auto"/>
            <w:vAlign w:val="center"/>
          </w:tcPr>
          <w:p w14:paraId="701A1409">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399" w:type="pct"/>
            <w:shd w:val="clear" w:color="auto" w:fill="auto"/>
            <w:vAlign w:val="center"/>
          </w:tcPr>
          <w:p w14:paraId="4182561F">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560" w:type="pct"/>
            <w:gridSpan w:val="2"/>
            <w:shd w:val="clear" w:color="auto" w:fill="auto"/>
            <w:vAlign w:val="center"/>
          </w:tcPr>
          <w:p w14:paraId="6A59ACD3">
            <w:pPr>
              <w:widowControl/>
              <w:jc w:val="center"/>
              <w:rPr>
                <w:rFonts w:ascii="宋体" w:hAnsi="宋体" w:cs="宋体"/>
                <w:color w:val="000000"/>
                <w:kern w:val="0"/>
                <w:sz w:val="20"/>
                <w:szCs w:val="20"/>
              </w:rPr>
            </w:pPr>
            <w:r>
              <w:rPr>
                <w:rFonts w:hint="eastAsia" w:ascii="宋体" w:hAnsi="宋体" w:cs="宋体"/>
                <w:color w:val="000000"/>
                <w:kern w:val="0"/>
                <w:sz w:val="20"/>
                <w:szCs w:val="20"/>
              </w:rPr>
              <w:t>搭建展厅</w:t>
            </w:r>
          </w:p>
        </w:tc>
        <w:tc>
          <w:tcPr>
            <w:tcW w:w="285" w:type="pct"/>
            <w:gridSpan w:val="2"/>
            <w:shd w:val="clear" w:color="auto" w:fill="auto"/>
            <w:vAlign w:val="center"/>
          </w:tcPr>
          <w:p w14:paraId="51BF08E1">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shd w:val="clear" w:color="auto" w:fill="auto"/>
            <w:vAlign w:val="center"/>
          </w:tcPr>
          <w:p w14:paraId="31B2D6C5">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87" w:type="pct"/>
            <w:shd w:val="clear" w:color="auto" w:fill="auto"/>
            <w:vAlign w:val="center"/>
          </w:tcPr>
          <w:p w14:paraId="1926854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1" w:type="pct"/>
            <w:shd w:val="clear" w:color="auto" w:fill="auto"/>
            <w:vAlign w:val="center"/>
          </w:tcPr>
          <w:p w14:paraId="4C868B3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09" w:type="pct"/>
            <w:shd w:val="clear" w:color="auto" w:fill="auto"/>
            <w:vAlign w:val="center"/>
          </w:tcPr>
          <w:p w14:paraId="28063510">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405" w:type="pct"/>
            <w:shd w:val="clear" w:color="auto" w:fill="auto"/>
            <w:vAlign w:val="center"/>
          </w:tcPr>
          <w:p w14:paraId="03D802AC">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19" w:type="pct"/>
            <w:shd w:val="clear" w:color="auto" w:fill="auto"/>
            <w:vAlign w:val="center"/>
          </w:tcPr>
          <w:p w14:paraId="23042B13">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11" w:type="pct"/>
            <w:shd w:val="clear" w:color="auto" w:fill="auto"/>
            <w:vAlign w:val="center"/>
          </w:tcPr>
          <w:p w14:paraId="2EF49FD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98B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477D234A">
            <w:pPr>
              <w:widowControl/>
              <w:jc w:val="left"/>
              <w:rPr>
                <w:rFonts w:ascii="宋体" w:hAnsi="宋体" w:cs="宋体"/>
                <w:color w:val="000000"/>
                <w:kern w:val="0"/>
                <w:sz w:val="20"/>
                <w:szCs w:val="20"/>
              </w:rPr>
            </w:pPr>
          </w:p>
        </w:tc>
        <w:tc>
          <w:tcPr>
            <w:tcW w:w="322" w:type="pct"/>
            <w:vMerge w:val="continue"/>
            <w:vAlign w:val="center"/>
          </w:tcPr>
          <w:p w14:paraId="2431FC9E">
            <w:pPr>
              <w:widowControl/>
              <w:jc w:val="left"/>
              <w:rPr>
                <w:rFonts w:ascii="宋体" w:hAnsi="宋体" w:cs="宋体"/>
                <w:color w:val="000000"/>
                <w:kern w:val="0"/>
                <w:sz w:val="20"/>
                <w:szCs w:val="20"/>
              </w:rPr>
            </w:pPr>
          </w:p>
        </w:tc>
        <w:tc>
          <w:tcPr>
            <w:tcW w:w="399" w:type="pct"/>
            <w:shd w:val="clear" w:color="auto" w:fill="auto"/>
            <w:vAlign w:val="center"/>
          </w:tcPr>
          <w:p w14:paraId="1C80C207">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560" w:type="pct"/>
            <w:gridSpan w:val="2"/>
            <w:shd w:val="clear" w:color="auto" w:fill="auto"/>
            <w:vAlign w:val="center"/>
          </w:tcPr>
          <w:p w14:paraId="74244A31">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资金到位率</w:t>
            </w:r>
          </w:p>
        </w:tc>
        <w:tc>
          <w:tcPr>
            <w:tcW w:w="285" w:type="pct"/>
            <w:gridSpan w:val="2"/>
            <w:shd w:val="clear" w:color="auto" w:fill="auto"/>
            <w:vAlign w:val="center"/>
          </w:tcPr>
          <w:p w14:paraId="5EFDB42E">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shd w:val="clear" w:color="auto" w:fill="auto"/>
            <w:vAlign w:val="center"/>
          </w:tcPr>
          <w:p w14:paraId="133118F8">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87" w:type="pct"/>
            <w:shd w:val="clear" w:color="auto" w:fill="auto"/>
            <w:vAlign w:val="center"/>
          </w:tcPr>
          <w:p w14:paraId="693B8B2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11" w:type="pct"/>
            <w:shd w:val="clear" w:color="auto" w:fill="auto"/>
            <w:vAlign w:val="center"/>
          </w:tcPr>
          <w:p w14:paraId="535D5BF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409" w:type="pct"/>
            <w:shd w:val="clear" w:color="auto" w:fill="auto"/>
            <w:vAlign w:val="center"/>
          </w:tcPr>
          <w:p w14:paraId="730005E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05" w:type="pct"/>
            <w:shd w:val="clear" w:color="auto" w:fill="auto"/>
            <w:vAlign w:val="center"/>
          </w:tcPr>
          <w:p w14:paraId="4D2BFC4E">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19" w:type="pct"/>
            <w:shd w:val="clear" w:color="auto" w:fill="auto"/>
            <w:vAlign w:val="center"/>
          </w:tcPr>
          <w:p w14:paraId="3F740B3F">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11" w:type="pct"/>
            <w:shd w:val="clear" w:color="auto" w:fill="auto"/>
            <w:vAlign w:val="center"/>
          </w:tcPr>
          <w:p w14:paraId="493BE4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E42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305786B3">
            <w:pPr>
              <w:widowControl/>
              <w:jc w:val="left"/>
              <w:rPr>
                <w:rFonts w:ascii="宋体" w:hAnsi="宋体" w:cs="宋体"/>
                <w:color w:val="000000"/>
                <w:kern w:val="0"/>
                <w:sz w:val="20"/>
                <w:szCs w:val="20"/>
              </w:rPr>
            </w:pPr>
          </w:p>
        </w:tc>
        <w:tc>
          <w:tcPr>
            <w:tcW w:w="322" w:type="pct"/>
            <w:vMerge w:val="continue"/>
            <w:vAlign w:val="center"/>
          </w:tcPr>
          <w:p w14:paraId="7476346A">
            <w:pPr>
              <w:widowControl/>
              <w:jc w:val="left"/>
              <w:rPr>
                <w:rFonts w:ascii="宋体" w:hAnsi="宋体" w:cs="宋体"/>
                <w:color w:val="000000"/>
                <w:kern w:val="0"/>
                <w:sz w:val="20"/>
                <w:szCs w:val="20"/>
              </w:rPr>
            </w:pPr>
          </w:p>
        </w:tc>
        <w:tc>
          <w:tcPr>
            <w:tcW w:w="399" w:type="pct"/>
            <w:shd w:val="clear" w:color="auto" w:fill="auto"/>
            <w:vAlign w:val="center"/>
          </w:tcPr>
          <w:p w14:paraId="49ED933D">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560" w:type="pct"/>
            <w:gridSpan w:val="2"/>
            <w:shd w:val="clear" w:color="auto" w:fill="auto"/>
            <w:vAlign w:val="center"/>
          </w:tcPr>
          <w:p w14:paraId="5191DD51">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完成时效</w:t>
            </w:r>
          </w:p>
        </w:tc>
        <w:tc>
          <w:tcPr>
            <w:tcW w:w="285" w:type="pct"/>
            <w:gridSpan w:val="2"/>
            <w:shd w:val="clear" w:color="auto" w:fill="auto"/>
            <w:vAlign w:val="center"/>
          </w:tcPr>
          <w:p w14:paraId="6E1F70EE">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shd w:val="clear" w:color="auto" w:fill="auto"/>
            <w:vAlign w:val="center"/>
          </w:tcPr>
          <w:p w14:paraId="2F4C3345">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87" w:type="pct"/>
            <w:shd w:val="clear" w:color="auto" w:fill="auto"/>
            <w:vAlign w:val="center"/>
          </w:tcPr>
          <w:p w14:paraId="4AE6138C">
            <w:pPr>
              <w:widowControl/>
              <w:jc w:val="center"/>
              <w:rPr>
                <w:rFonts w:ascii="宋体" w:hAnsi="宋体" w:cs="宋体"/>
                <w:color w:val="000000"/>
                <w:kern w:val="0"/>
                <w:sz w:val="20"/>
                <w:szCs w:val="20"/>
              </w:rPr>
            </w:pPr>
            <w:r>
              <w:rPr>
                <w:rFonts w:hint="eastAsia" w:ascii="宋体" w:hAnsi="宋体" w:cs="宋体"/>
                <w:color w:val="000000"/>
                <w:kern w:val="0"/>
                <w:sz w:val="20"/>
                <w:szCs w:val="20"/>
              </w:rPr>
              <w:t>2023</w:t>
            </w:r>
          </w:p>
        </w:tc>
        <w:tc>
          <w:tcPr>
            <w:tcW w:w="611" w:type="pct"/>
            <w:shd w:val="clear" w:color="auto" w:fill="auto"/>
            <w:vAlign w:val="center"/>
          </w:tcPr>
          <w:p w14:paraId="11AEB4D2">
            <w:pPr>
              <w:widowControl/>
              <w:jc w:val="center"/>
              <w:rPr>
                <w:rFonts w:ascii="宋体" w:hAnsi="宋体" w:cs="宋体"/>
                <w:color w:val="000000"/>
                <w:kern w:val="0"/>
                <w:sz w:val="20"/>
                <w:szCs w:val="20"/>
              </w:rPr>
            </w:pPr>
            <w:r>
              <w:rPr>
                <w:rFonts w:hint="eastAsia" w:ascii="宋体" w:hAnsi="宋体" w:cs="宋体"/>
                <w:color w:val="000000"/>
                <w:kern w:val="0"/>
                <w:sz w:val="20"/>
                <w:szCs w:val="20"/>
              </w:rPr>
              <w:t>2023</w:t>
            </w:r>
          </w:p>
        </w:tc>
        <w:tc>
          <w:tcPr>
            <w:tcW w:w="409" w:type="pct"/>
            <w:shd w:val="clear" w:color="auto" w:fill="auto"/>
            <w:vAlign w:val="center"/>
          </w:tcPr>
          <w:p w14:paraId="2AB6EF65">
            <w:pPr>
              <w:widowControl/>
              <w:jc w:val="center"/>
              <w:rPr>
                <w:rFonts w:ascii="宋体" w:hAnsi="宋体" w:cs="宋体"/>
                <w:color w:val="000000"/>
                <w:kern w:val="0"/>
                <w:sz w:val="20"/>
                <w:szCs w:val="20"/>
              </w:rPr>
            </w:pPr>
            <w:r>
              <w:rPr>
                <w:rFonts w:hint="eastAsia" w:ascii="宋体" w:hAnsi="宋体" w:cs="宋体"/>
                <w:color w:val="000000"/>
                <w:kern w:val="0"/>
                <w:sz w:val="20"/>
                <w:szCs w:val="20"/>
              </w:rPr>
              <w:t>年</w:t>
            </w:r>
          </w:p>
        </w:tc>
        <w:tc>
          <w:tcPr>
            <w:tcW w:w="405" w:type="pct"/>
            <w:shd w:val="clear" w:color="auto" w:fill="auto"/>
            <w:vAlign w:val="center"/>
          </w:tcPr>
          <w:p w14:paraId="3937A0D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9" w:type="pct"/>
            <w:shd w:val="clear" w:color="auto" w:fill="auto"/>
            <w:vAlign w:val="center"/>
          </w:tcPr>
          <w:p w14:paraId="1782E8E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1" w:type="pct"/>
            <w:shd w:val="clear" w:color="auto" w:fill="auto"/>
            <w:vAlign w:val="center"/>
          </w:tcPr>
          <w:p w14:paraId="367E9C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583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6D7648AF">
            <w:pPr>
              <w:widowControl/>
              <w:jc w:val="left"/>
              <w:rPr>
                <w:rFonts w:ascii="宋体" w:hAnsi="宋体" w:cs="宋体"/>
                <w:color w:val="000000"/>
                <w:kern w:val="0"/>
                <w:sz w:val="20"/>
                <w:szCs w:val="20"/>
              </w:rPr>
            </w:pPr>
          </w:p>
        </w:tc>
        <w:tc>
          <w:tcPr>
            <w:tcW w:w="322" w:type="pct"/>
            <w:vMerge w:val="continue"/>
            <w:vAlign w:val="center"/>
          </w:tcPr>
          <w:p w14:paraId="6C2886F5">
            <w:pPr>
              <w:widowControl/>
              <w:jc w:val="left"/>
              <w:rPr>
                <w:rFonts w:ascii="宋体" w:hAnsi="宋体" w:cs="宋体"/>
                <w:color w:val="000000"/>
                <w:kern w:val="0"/>
                <w:sz w:val="20"/>
                <w:szCs w:val="20"/>
              </w:rPr>
            </w:pPr>
          </w:p>
        </w:tc>
        <w:tc>
          <w:tcPr>
            <w:tcW w:w="399" w:type="pct"/>
            <w:shd w:val="clear" w:color="auto" w:fill="auto"/>
            <w:vAlign w:val="center"/>
          </w:tcPr>
          <w:p w14:paraId="630C3140">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560" w:type="pct"/>
            <w:gridSpan w:val="2"/>
            <w:shd w:val="clear" w:color="auto" w:fill="auto"/>
            <w:vAlign w:val="center"/>
          </w:tcPr>
          <w:p w14:paraId="12EA297F">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组织参加自治区绿色农畜产品博览会</w:t>
            </w:r>
          </w:p>
        </w:tc>
        <w:tc>
          <w:tcPr>
            <w:tcW w:w="285" w:type="pct"/>
            <w:gridSpan w:val="2"/>
            <w:shd w:val="clear" w:color="auto" w:fill="auto"/>
            <w:vAlign w:val="center"/>
          </w:tcPr>
          <w:p w14:paraId="5F92F6B5">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shd w:val="clear" w:color="auto" w:fill="auto"/>
            <w:vAlign w:val="center"/>
          </w:tcPr>
          <w:p w14:paraId="49895EDD">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87" w:type="pct"/>
            <w:shd w:val="clear" w:color="auto" w:fill="auto"/>
            <w:vAlign w:val="center"/>
          </w:tcPr>
          <w:p w14:paraId="367857A1">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611" w:type="pct"/>
            <w:shd w:val="clear" w:color="auto" w:fill="auto"/>
            <w:vAlign w:val="center"/>
          </w:tcPr>
          <w:p w14:paraId="000AF96A">
            <w:pPr>
              <w:widowControl/>
              <w:jc w:val="center"/>
              <w:rPr>
                <w:rFonts w:ascii="宋体" w:hAnsi="宋体" w:cs="宋体"/>
                <w:color w:val="000000"/>
                <w:kern w:val="0"/>
                <w:sz w:val="20"/>
                <w:szCs w:val="20"/>
              </w:rPr>
            </w:pPr>
            <w:r>
              <w:rPr>
                <w:rFonts w:hint="eastAsia" w:ascii="宋体" w:hAnsi="宋体" w:cs="宋体"/>
                <w:color w:val="000000"/>
                <w:kern w:val="0"/>
                <w:sz w:val="20"/>
                <w:szCs w:val="20"/>
              </w:rPr>
              <w:t>21.29</w:t>
            </w:r>
          </w:p>
        </w:tc>
        <w:tc>
          <w:tcPr>
            <w:tcW w:w="409" w:type="pct"/>
            <w:shd w:val="clear" w:color="auto" w:fill="auto"/>
            <w:vAlign w:val="center"/>
          </w:tcPr>
          <w:p w14:paraId="79EA233C">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405" w:type="pct"/>
            <w:shd w:val="clear" w:color="auto" w:fill="auto"/>
            <w:vAlign w:val="center"/>
          </w:tcPr>
          <w:p w14:paraId="3D6F1DE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9" w:type="pct"/>
            <w:shd w:val="clear" w:color="auto" w:fill="auto"/>
            <w:vAlign w:val="center"/>
          </w:tcPr>
          <w:p w14:paraId="220987CB">
            <w:pPr>
              <w:widowControl/>
              <w:jc w:val="center"/>
              <w:rPr>
                <w:rFonts w:ascii="宋体" w:hAnsi="宋体" w:cs="宋体"/>
                <w:color w:val="000000"/>
                <w:kern w:val="0"/>
                <w:sz w:val="20"/>
                <w:szCs w:val="20"/>
              </w:rPr>
            </w:pPr>
            <w:r>
              <w:rPr>
                <w:rFonts w:hint="eastAsia" w:ascii="宋体" w:hAnsi="宋体" w:cs="宋体"/>
                <w:color w:val="000000"/>
                <w:kern w:val="0"/>
                <w:sz w:val="20"/>
                <w:szCs w:val="20"/>
              </w:rPr>
              <w:t>8.87</w:t>
            </w:r>
          </w:p>
        </w:tc>
        <w:tc>
          <w:tcPr>
            <w:tcW w:w="411" w:type="pct"/>
            <w:shd w:val="clear" w:color="auto" w:fill="auto"/>
            <w:vAlign w:val="center"/>
          </w:tcPr>
          <w:p w14:paraId="0E6F79DC">
            <w:pPr>
              <w:widowControl/>
              <w:jc w:val="center"/>
              <w:rPr>
                <w:rFonts w:ascii="宋体" w:hAnsi="宋体" w:cs="宋体"/>
                <w:color w:val="000000"/>
                <w:kern w:val="0"/>
                <w:sz w:val="20"/>
                <w:szCs w:val="20"/>
              </w:rPr>
            </w:pPr>
            <w:r>
              <w:rPr>
                <w:rFonts w:hint="eastAsia" w:ascii="宋体" w:hAnsi="宋体" w:cs="宋体"/>
                <w:color w:val="000000"/>
                <w:kern w:val="0"/>
                <w:sz w:val="20"/>
                <w:szCs w:val="20"/>
              </w:rPr>
              <w:t>站台搭建费中使用了以前年度资金，结转资金下年继续使用</w:t>
            </w:r>
          </w:p>
        </w:tc>
      </w:tr>
      <w:tr w14:paraId="0A4C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13F7A528">
            <w:pPr>
              <w:widowControl/>
              <w:jc w:val="left"/>
              <w:rPr>
                <w:rFonts w:ascii="宋体" w:hAnsi="宋体" w:cs="宋体"/>
                <w:color w:val="000000"/>
                <w:kern w:val="0"/>
                <w:sz w:val="20"/>
                <w:szCs w:val="20"/>
              </w:rPr>
            </w:pPr>
          </w:p>
        </w:tc>
        <w:tc>
          <w:tcPr>
            <w:tcW w:w="322" w:type="pct"/>
            <w:vMerge w:val="restart"/>
            <w:shd w:val="clear" w:color="auto" w:fill="auto"/>
            <w:vAlign w:val="center"/>
          </w:tcPr>
          <w:p w14:paraId="61FAE640">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399" w:type="pct"/>
            <w:vMerge w:val="restart"/>
            <w:shd w:val="clear" w:color="auto" w:fill="auto"/>
            <w:vAlign w:val="center"/>
          </w:tcPr>
          <w:p w14:paraId="51C258FE">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560" w:type="pct"/>
            <w:gridSpan w:val="2"/>
            <w:shd w:val="clear" w:color="auto" w:fill="auto"/>
            <w:vAlign w:val="center"/>
          </w:tcPr>
          <w:p w14:paraId="3277F6B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现场销售</w:t>
            </w:r>
          </w:p>
        </w:tc>
        <w:tc>
          <w:tcPr>
            <w:tcW w:w="285" w:type="pct"/>
            <w:gridSpan w:val="2"/>
            <w:shd w:val="clear" w:color="auto" w:fill="auto"/>
            <w:vAlign w:val="center"/>
          </w:tcPr>
          <w:p w14:paraId="549B766C">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shd w:val="clear" w:color="auto" w:fill="auto"/>
            <w:vAlign w:val="center"/>
          </w:tcPr>
          <w:p w14:paraId="6E8FAC83">
            <w:pPr>
              <w:widowControl/>
              <w:jc w:val="center"/>
              <w:rPr>
                <w:rFonts w:ascii="宋体" w:hAnsi="宋体" w:cs="宋体"/>
                <w:color w:val="000000"/>
                <w:kern w:val="0"/>
                <w:sz w:val="20"/>
                <w:szCs w:val="20"/>
              </w:rPr>
            </w:pPr>
            <w:r>
              <w:rPr>
                <w:rFonts w:hint="eastAsia" w:ascii="宋体" w:hAnsi="宋体" w:cs="宋体"/>
                <w:color w:val="000000"/>
                <w:kern w:val="0"/>
                <w:sz w:val="20"/>
                <w:szCs w:val="20"/>
              </w:rPr>
              <w:t>小于等于</w:t>
            </w:r>
          </w:p>
        </w:tc>
        <w:tc>
          <w:tcPr>
            <w:tcW w:w="487" w:type="pct"/>
            <w:shd w:val="clear" w:color="auto" w:fill="auto"/>
            <w:vAlign w:val="center"/>
          </w:tcPr>
          <w:p w14:paraId="3E96FA8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11" w:type="pct"/>
            <w:shd w:val="clear" w:color="auto" w:fill="auto"/>
            <w:vAlign w:val="center"/>
          </w:tcPr>
          <w:p w14:paraId="27BBE58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09" w:type="pct"/>
            <w:shd w:val="clear" w:color="auto" w:fill="auto"/>
            <w:vAlign w:val="center"/>
          </w:tcPr>
          <w:p w14:paraId="0D96A51F">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405" w:type="pct"/>
            <w:shd w:val="clear" w:color="auto" w:fill="auto"/>
            <w:vAlign w:val="center"/>
          </w:tcPr>
          <w:p w14:paraId="14F82FD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vAlign w:val="center"/>
          </w:tcPr>
          <w:p w14:paraId="2D77A77E">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11" w:type="pct"/>
            <w:shd w:val="clear" w:color="auto" w:fill="auto"/>
            <w:vAlign w:val="center"/>
          </w:tcPr>
          <w:p w14:paraId="7F38F488">
            <w:pPr>
              <w:widowControl/>
              <w:jc w:val="center"/>
              <w:rPr>
                <w:rFonts w:ascii="宋体" w:hAnsi="宋体" w:cs="宋体"/>
                <w:color w:val="000000"/>
                <w:kern w:val="0"/>
                <w:sz w:val="20"/>
                <w:szCs w:val="20"/>
              </w:rPr>
            </w:pPr>
            <w:r>
              <w:rPr>
                <w:rFonts w:hint="eastAsia" w:ascii="宋体" w:hAnsi="宋体" w:cs="宋体"/>
                <w:color w:val="000000"/>
                <w:kern w:val="0"/>
                <w:sz w:val="20"/>
                <w:szCs w:val="20"/>
              </w:rPr>
              <w:t>绿博会社会观众数量少，导致现场销售额未达到预期。</w:t>
            </w:r>
          </w:p>
        </w:tc>
      </w:tr>
      <w:tr w14:paraId="3B36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368B839D">
            <w:pPr>
              <w:widowControl/>
              <w:jc w:val="left"/>
              <w:rPr>
                <w:rFonts w:ascii="宋体" w:hAnsi="宋体" w:cs="宋体"/>
                <w:color w:val="000000"/>
                <w:kern w:val="0"/>
                <w:sz w:val="20"/>
                <w:szCs w:val="20"/>
              </w:rPr>
            </w:pPr>
          </w:p>
        </w:tc>
        <w:tc>
          <w:tcPr>
            <w:tcW w:w="322" w:type="pct"/>
            <w:vMerge w:val="continue"/>
            <w:vAlign w:val="center"/>
          </w:tcPr>
          <w:p w14:paraId="5C4EF872">
            <w:pPr>
              <w:widowControl/>
              <w:jc w:val="left"/>
              <w:rPr>
                <w:rFonts w:ascii="宋体" w:hAnsi="宋体" w:cs="宋体"/>
                <w:color w:val="000000"/>
                <w:kern w:val="0"/>
                <w:sz w:val="20"/>
                <w:szCs w:val="20"/>
              </w:rPr>
            </w:pPr>
          </w:p>
        </w:tc>
        <w:tc>
          <w:tcPr>
            <w:tcW w:w="399" w:type="pct"/>
            <w:vMerge w:val="continue"/>
            <w:vAlign w:val="center"/>
          </w:tcPr>
          <w:p w14:paraId="0124E7A9">
            <w:pPr>
              <w:widowControl/>
              <w:jc w:val="left"/>
              <w:rPr>
                <w:rFonts w:ascii="宋体" w:hAnsi="宋体" w:cs="宋体"/>
                <w:color w:val="000000"/>
                <w:kern w:val="0"/>
                <w:sz w:val="20"/>
                <w:szCs w:val="20"/>
              </w:rPr>
            </w:pPr>
          </w:p>
        </w:tc>
        <w:tc>
          <w:tcPr>
            <w:tcW w:w="560" w:type="pct"/>
            <w:gridSpan w:val="2"/>
            <w:shd w:val="clear" w:color="auto" w:fill="auto"/>
            <w:vAlign w:val="center"/>
          </w:tcPr>
          <w:p w14:paraId="17908DE1">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达成合作意向</w:t>
            </w:r>
          </w:p>
        </w:tc>
        <w:tc>
          <w:tcPr>
            <w:tcW w:w="285" w:type="pct"/>
            <w:gridSpan w:val="2"/>
            <w:shd w:val="clear" w:color="auto" w:fill="auto"/>
            <w:vAlign w:val="center"/>
          </w:tcPr>
          <w:p w14:paraId="16DF5A79">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shd w:val="clear" w:color="auto" w:fill="auto"/>
            <w:vAlign w:val="center"/>
          </w:tcPr>
          <w:p w14:paraId="39DE2D86">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87" w:type="pct"/>
            <w:shd w:val="clear" w:color="auto" w:fill="auto"/>
            <w:vAlign w:val="center"/>
          </w:tcPr>
          <w:p w14:paraId="4C8E9747">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c>
          <w:tcPr>
            <w:tcW w:w="611" w:type="pct"/>
            <w:shd w:val="clear" w:color="auto" w:fill="auto"/>
            <w:vAlign w:val="center"/>
          </w:tcPr>
          <w:p w14:paraId="257A28E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409" w:type="pct"/>
            <w:shd w:val="clear" w:color="auto" w:fill="auto"/>
            <w:vAlign w:val="center"/>
          </w:tcPr>
          <w:p w14:paraId="47FA1810">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万元</w:t>
            </w:r>
          </w:p>
        </w:tc>
        <w:tc>
          <w:tcPr>
            <w:tcW w:w="405" w:type="pct"/>
            <w:shd w:val="clear" w:color="auto" w:fill="auto"/>
            <w:vAlign w:val="center"/>
          </w:tcPr>
          <w:p w14:paraId="7900F65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9" w:type="pct"/>
            <w:shd w:val="clear" w:color="auto" w:fill="auto"/>
            <w:vAlign w:val="center"/>
          </w:tcPr>
          <w:p w14:paraId="1063A1F2">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11" w:type="pct"/>
            <w:shd w:val="clear" w:color="auto" w:fill="auto"/>
            <w:vAlign w:val="center"/>
          </w:tcPr>
          <w:p w14:paraId="2A1F1B9F">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采购商购买意愿不高，未达到预期效果</w:t>
            </w:r>
          </w:p>
        </w:tc>
      </w:tr>
      <w:tr w14:paraId="02E8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1838B8AE">
            <w:pPr>
              <w:widowControl/>
              <w:jc w:val="left"/>
              <w:rPr>
                <w:rFonts w:ascii="宋体" w:hAnsi="宋体" w:cs="宋体"/>
                <w:color w:val="000000"/>
                <w:kern w:val="0"/>
                <w:sz w:val="20"/>
                <w:szCs w:val="20"/>
              </w:rPr>
            </w:pPr>
          </w:p>
        </w:tc>
        <w:tc>
          <w:tcPr>
            <w:tcW w:w="322" w:type="pct"/>
            <w:vMerge w:val="continue"/>
            <w:vAlign w:val="center"/>
          </w:tcPr>
          <w:p w14:paraId="1FD6A46E">
            <w:pPr>
              <w:widowControl/>
              <w:jc w:val="left"/>
              <w:rPr>
                <w:rFonts w:ascii="宋体" w:hAnsi="宋体" w:cs="宋体"/>
                <w:color w:val="000000"/>
                <w:kern w:val="0"/>
                <w:sz w:val="20"/>
                <w:szCs w:val="20"/>
              </w:rPr>
            </w:pPr>
          </w:p>
        </w:tc>
        <w:tc>
          <w:tcPr>
            <w:tcW w:w="399" w:type="pct"/>
            <w:vMerge w:val="restart"/>
            <w:shd w:val="clear" w:color="auto" w:fill="auto"/>
            <w:vAlign w:val="center"/>
          </w:tcPr>
          <w:p w14:paraId="0F689AB9">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560" w:type="pct"/>
            <w:gridSpan w:val="2"/>
            <w:shd w:val="clear" w:color="auto" w:fill="auto"/>
            <w:vAlign w:val="center"/>
          </w:tcPr>
          <w:p w14:paraId="39E8927D">
            <w:pPr>
              <w:widowControl/>
              <w:jc w:val="center"/>
              <w:rPr>
                <w:rFonts w:ascii="宋体" w:hAnsi="宋体" w:cs="宋体"/>
                <w:color w:val="000000"/>
                <w:kern w:val="0"/>
                <w:sz w:val="20"/>
                <w:szCs w:val="20"/>
              </w:rPr>
            </w:pPr>
            <w:r>
              <w:rPr>
                <w:rFonts w:hint="eastAsia" w:ascii="宋体" w:hAnsi="宋体" w:cs="宋体"/>
                <w:color w:val="000000"/>
                <w:kern w:val="0"/>
                <w:sz w:val="20"/>
                <w:szCs w:val="20"/>
              </w:rPr>
              <w:t>锡林郭勒品牌知名度得到提高</w:t>
            </w:r>
          </w:p>
        </w:tc>
        <w:tc>
          <w:tcPr>
            <w:tcW w:w="285" w:type="pct"/>
            <w:gridSpan w:val="2"/>
            <w:shd w:val="clear" w:color="auto" w:fill="auto"/>
            <w:vAlign w:val="center"/>
          </w:tcPr>
          <w:p w14:paraId="0C9B94CD">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3" w:type="pct"/>
            <w:shd w:val="clear" w:color="auto" w:fill="auto"/>
            <w:vAlign w:val="center"/>
          </w:tcPr>
          <w:p w14:paraId="069AAD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87" w:type="pct"/>
            <w:shd w:val="clear" w:color="auto" w:fill="auto"/>
            <w:vAlign w:val="center"/>
          </w:tcPr>
          <w:p w14:paraId="16BA51D7">
            <w:pPr>
              <w:widowControl/>
              <w:jc w:val="center"/>
              <w:rPr>
                <w:rFonts w:ascii="宋体" w:hAnsi="宋体" w:cs="宋体"/>
                <w:color w:val="000000"/>
                <w:kern w:val="0"/>
                <w:sz w:val="20"/>
                <w:szCs w:val="20"/>
              </w:rPr>
            </w:pPr>
            <w:r>
              <w:rPr>
                <w:rFonts w:hint="eastAsia" w:ascii="宋体" w:hAnsi="宋体" w:cs="宋体"/>
                <w:color w:val="000000"/>
                <w:kern w:val="0"/>
                <w:sz w:val="20"/>
                <w:szCs w:val="20"/>
              </w:rPr>
              <w:t>消费者对锡林郭勒品牌认可度提高</w:t>
            </w:r>
          </w:p>
        </w:tc>
        <w:tc>
          <w:tcPr>
            <w:tcW w:w="611" w:type="pct"/>
            <w:shd w:val="clear" w:color="auto" w:fill="auto"/>
            <w:vAlign w:val="center"/>
          </w:tcPr>
          <w:p w14:paraId="01A4664A">
            <w:pPr>
              <w:widowControl/>
              <w:jc w:val="center"/>
              <w:rPr>
                <w:rFonts w:ascii="宋体" w:hAnsi="宋体" w:cs="宋体"/>
                <w:color w:val="000000"/>
                <w:kern w:val="0"/>
                <w:sz w:val="20"/>
                <w:szCs w:val="20"/>
              </w:rPr>
            </w:pPr>
            <w:r>
              <w:rPr>
                <w:rFonts w:hint="eastAsia" w:ascii="宋体" w:hAnsi="宋体" w:cs="宋体"/>
                <w:color w:val="000000"/>
                <w:kern w:val="0"/>
                <w:sz w:val="20"/>
                <w:szCs w:val="20"/>
              </w:rPr>
              <w:t>消费者对锡林郭勒品牌认可度提高</w:t>
            </w:r>
          </w:p>
        </w:tc>
        <w:tc>
          <w:tcPr>
            <w:tcW w:w="409" w:type="pct"/>
            <w:shd w:val="clear" w:color="auto" w:fill="auto"/>
            <w:vAlign w:val="center"/>
          </w:tcPr>
          <w:p w14:paraId="3F6C51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5" w:type="pct"/>
            <w:shd w:val="clear" w:color="auto" w:fill="auto"/>
            <w:vAlign w:val="center"/>
          </w:tcPr>
          <w:p w14:paraId="3D2B14F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vAlign w:val="center"/>
          </w:tcPr>
          <w:p w14:paraId="4B6E6CE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1" w:type="pct"/>
            <w:shd w:val="clear" w:color="auto" w:fill="auto"/>
            <w:vAlign w:val="center"/>
          </w:tcPr>
          <w:p w14:paraId="206F27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25D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744F22F8">
            <w:pPr>
              <w:widowControl/>
              <w:jc w:val="left"/>
              <w:rPr>
                <w:rFonts w:ascii="宋体" w:hAnsi="宋体" w:cs="宋体"/>
                <w:color w:val="000000"/>
                <w:kern w:val="0"/>
                <w:sz w:val="20"/>
                <w:szCs w:val="20"/>
              </w:rPr>
            </w:pPr>
          </w:p>
        </w:tc>
        <w:tc>
          <w:tcPr>
            <w:tcW w:w="322" w:type="pct"/>
            <w:vMerge w:val="continue"/>
            <w:vAlign w:val="center"/>
          </w:tcPr>
          <w:p w14:paraId="0ADA3264">
            <w:pPr>
              <w:widowControl/>
              <w:jc w:val="left"/>
              <w:rPr>
                <w:rFonts w:ascii="宋体" w:hAnsi="宋体" w:cs="宋体"/>
                <w:color w:val="000000"/>
                <w:kern w:val="0"/>
                <w:sz w:val="20"/>
                <w:szCs w:val="20"/>
              </w:rPr>
            </w:pPr>
          </w:p>
        </w:tc>
        <w:tc>
          <w:tcPr>
            <w:tcW w:w="399" w:type="pct"/>
            <w:vMerge w:val="continue"/>
            <w:vAlign w:val="center"/>
          </w:tcPr>
          <w:p w14:paraId="1E9D134D">
            <w:pPr>
              <w:widowControl/>
              <w:jc w:val="left"/>
              <w:rPr>
                <w:rFonts w:ascii="宋体" w:hAnsi="宋体" w:cs="宋体"/>
                <w:color w:val="000000"/>
                <w:kern w:val="0"/>
                <w:sz w:val="20"/>
                <w:szCs w:val="20"/>
              </w:rPr>
            </w:pPr>
          </w:p>
        </w:tc>
        <w:tc>
          <w:tcPr>
            <w:tcW w:w="560" w:type="pct"/>
            <w:gridSpan w:val="2"/>
            <w:shd w:val="clear" w:color="auto" w:fill="auto"/>
            <w:vAlign w:val="center"/>
          </w:tcPr>
          <w:p w14:paraId="28601E89">
            <w:pPr>
              <w:widowControl/>
              <w:jc w:val="center"/>
              <w:rPr>
                <w:rFonts w:ascii="宋体" w:hAnsi="宋体" w:cs="宋体"/>
                <w:color w:val="000000"/>
                <w:kern w:val="0"/>
                <w:sz w:val="20"/>
                <w:szCs w:val="20"/>
              </w:rPr>
            </w:pPr>
            <w:r>
              <w:rPr>
                <w:rFonts w:hint="eastAsia" w:ascii="宋体" w:hAnsi="宋体" w:cs="宋体"/>
                <w:color w:val="000000"/>
                <w:kern w:val="0"/>
                <w:sz w:val="20"/>
                <w:szCs w:val="20"/>
              </w:rPr>
              <w:t>我盟农畜产品销售价格得到提高</w:t>
            </w:r>
          </w:p>
        </w:tc>
        <w:tc>
          <w:tcPr>
            <w:tcW w:w="285" w:type="pct"/>
            <w:gridSpan w:val="2"/>
            <w:shd w:val="clear" w:color="auto" w:fill="auto"/>
            <w:vAlign w:val="center"/>
          </w:tcPr>
          <w:p w14:paraId="57B80ED4">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353" w:type="pct"/>
            <w:shd w:val="clear" w:color="auto" w:fill="auto"/>
            <w:vAlign w:val="center"/>
          </w:tcPr>
          <w:p w14:paraId="43013B1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87" w:type="pct"/>
            <w:shd w:val="clear" w:color="auto" w:fill="auto"/>
            <w:vAlign w:val="center"/>
          </w:tcPr>
          <w:p w14:paraId="059E3464">
            <w:pPr>
              <w:widowControl/>
              <w:jc w:val="center"/>
              <w:rPr>
                <w:rFonts w:ascii="宋体" w:hAnsi="宋体" w:cs="宋体"/>
                <w:color w:val="000000"/>
                <w:kern w:val="0"/>
                <w:sz w:val="20"/>
                <w:szCs w:val="20"/>
              </w:rPr>
            </w:pPr>
            <w:r>
              <w:rPr>
                <w:rFonts w:hint="eastAsia" w:ascii="宋体" w:hAnsi="宋体" w:cs="宋体"/>
                <w:color w:val="000000"/>
                <w:kern w:val="0"/>
                <w:sz w:val="20"/>
                <w:szCs w:val="20"/>
              </w:rPr>
              <w:t>同类产品高于自治区市场平均价10-20元</w:t>
            </w:r>
          </w:p>
        </w:tc>
        <w:tc>
          <w:tcPr>
            <w:tcW w:w="611" w:type="pct"/>
            <w:shd w:val="clear" w:color="auto" w:fill="auto"/>
            <w:vAlign w:val="center"/>
          </w:tcPr>
          <w:p w14:paraId="4C8B67F3">
            <w:pPr>
              <w:widowControl/>
              <w:jc w:val="center"/>
              <w:rPr>
                <w:rFonts w:ascii="宋体" w:hAnsi="宋体" w:cs="宋体"/>
                <w:color w:val="000000"/>
                <w:kern w:val="0"/>
                <w:sz w:val="20"/>
                <w:szCs w:val="20"/>
              </w:rPr>
            </w:pPr>
            <w:r>
              <w:rPr>
                <w:rFonts w:hint="eastAsia" w:ascii="宋体" w:hAnsi="宋体" w:cs="宋体"/>
                <w:color w:val="000000"/>
                <w:kern w:val="0"/>
                <w:sz w:val="20"/>
                <w:szCs w:val="20"/>
              </w:rPr>
              <w:t>同类产品高于自治区市场平均价10-20元</w:t>
            </w:r>
          </w:p>
        </w:tc>
        <w:tc>
          <w:tcPr>
            <w:tcW w:w="409" w:type="pct"/>
            <w:shd w:val="clear" w:color="auto" w:fill="auto"/>
            <w:vAlign w:val="center"/>
          </w:tcPr>
          <w:p w14:paraId="6242B2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5" w:type="pct"/>
            <w:shd w:val="clear" w:color="auto" w:fill="auto"/>
            <w:vAlign w:val="center"/>
          </w:tcPr>
          <w:p w14:paraId="6B5FAFF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vAlign w:val="center"/>
          </w:tcPr>
          <w:p w14:paraId="48E04CF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1" w:type="pct"/>
            <w:shd w:val="clear" w:color="auto" w:fill="auto"/>
            <w:vAlign w:val="center"/>
          </w:tcPr>
          <w:p w14:paraId="037047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738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56BFB1E9">
            <w:pPr>
              <w:widowControl/>
              <w:jc w:val="left"/>
              <w:rPr>
                <w:rFonts w:ascii="宋体" w:hAnsi="宋体" w:cs="宋体"/>
                <w:color w:val="000000"/>
                <w:kern w:val="0"/>
                <w:sz w:val="20"/>
                <w:szCs w:val="20"/>
              </w:rPr>
            </w:pPr>
          </w:p>
        </w:tc>
        <w:tc>
          <w:tcPr>
            <w:tcW w:w="322" w:type="pct"/>
            <w:vMerge w:val="continue"/>
            <w:vAlign w:val="center"/>
          </w:tcPr>
          <w:p w14:paraId="1235110A">
            <w:pPr>
              <w:widowControl/>
              <w:jc w:val="left"/>
              <w:rPr>
                <w:rFonts w:ascii="宋体" w:hAnsi="宋体" w:cs="宋体"/>
                <w:color w:val="000000"/>
                <w:kern w:val="0"/>
                <w:sz w:val="20"/>
                <w:szCs w:val="20"/>
              </w:rPr>
            </w:pPr>
          </w:p>
        </w:tc>
        <w:tc>
          <w:tcPr>
            <w:tcW w:w="399" w:type="pct"/>
            <w:shd w:val="clear" w:color="auto" w:fill="auto"/>
            <w:vAlign w:val="center"/>
          </w:tcPr>
          <w:p w14:paraId="2C540679">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w:t>
            </w:r>
          </w:p>
        </w:tc>
        <w:tc>
          <w:tcPr>
            <w:tcW w:w="560" w:type="pct"/>
            <w:gridSpan w:val="2"/>
            <w:shd w:val="clear" w:color="auto" w:fill="auto"/>
            <w:vAlign w:val="center"/>
          </w:tcPr>
          <w:p w14:paraId="0BCD3163">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组织参加自治区绿色农畜产品博览会</w:t>
            </w:r>
          </w:p>
        </w:tc>
        <w:tc>
          <w:tcPr>
            <w:tcW w:w="285" w:type="pct"/>
            <w:gridSpan w:val="2"/>
            <w:shd w:val="clear" w:color="auto" w:fill="auto"/>
            <w:vAlign w:val="center"/>
          </w:tcPr>
          <w:p w14:paraId="5F6065B3">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shd w:val="clear" w:color="auto" w:fill="auto"/>
            <w:vAlign w:val="center"/>
          </w:tcPr>
          <w:p w14:paraId="1453C1C6">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87" w:type="pct"/>
            <w:shd w:val="clear" w:color="auto" w:fill="auto"/>
            <w:vAlign w:val="center"/>
          </w:tcPr>
          <w:p w14:paraId="0353310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11" w:type="pct"/>
            <w:shd w:val="clear" w:color="auto" w:fill="auto"/>
            <w:vAlign w:val="center"/>
          </w:tcPr>
          <w:p w14:paraId="1EB11F0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09" w:type="pct"/>
            <w:shd w:val="clear" w:color="auto" w:fill="auto"/>
            <w:vAlign w:val="center"/>
          </w:tcPr>
          <w:p w14:paraId="4CB0CB47">
            <w:pPr>
              <w:widowControl/>
              <w:jc w:val="center"/>
              <w:rPr>
                <w:rFonts w:ascii="宋体" w:hAnsi="宋体" w:cs="宋体"/>
                <w:color w:val="000000"/>
                <w:kern w:val="0"/>
                <w:sz w:val="20"/>
                <w:szCs w:val="20"/>
              </w:rPr>
            </w:pPr>
            <w:r>
              <w:rPr>
                <w:rFonts w:hint="eastAsia" w:ascii="宋体" w:hAnsi="宋体" w:cs="宋体"/>
                <w:color w:val="000000"/>
                <w:kern w:val="0"/>
                <w:sz w:val="20"/>
                <w:szCs w:val="20"/>
              </w:rPr>
              <w:t>年</w:t>
            </w:r>
          </w:p>
        </w:tc>
        <w:tc>
          <w:tcPr>
            <w:tcW w:w="405" w:type="pct"/>
            <w:shd w:val="clear" w:color="auto" w:fill="auto"/>
            <w:vAlign w:val="center"/>
          </w:tcPr>
          <w:p w14:paraId="7B9C6716">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vAlign w:val="center"/>
          </w:tcPr>
          <w:p w14:paraId="2895C79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1" w:type="pct"/>
            <w:shd w:val="clear" w:color="auto" w:fill="auto"/>
            <w:vAlign w:val="center"/>
          </w:tcPr>
          <w:p w14:paraId="5D1F22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447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7E7C0F5E">
            <w:pPr>
              <w:widowControl/>
              <w:jc w:val="left"/>
              <w:rPr>
                <w:rFonts w:ascii="宋体" w:hAnsi="宋体" w:cs="宋体"/>
                <w:color w:val="000000"/>
                <w:kern w:val="0"/>
                <w:sz w:val="20"/>
                <w:szCs w:val="20"/>
              </w:rPr>
            </w:pPr>
          </w:p>
        </w:tc>
        <w:tc>
          <w:tcPr>
            <w:tcW w:w="322" w:type="pct"/>
            <w:vMerge w:val="restart"/>
            <w:shd w:val="clear" w:color="auto" w:fill="auto"/>
            <w:vAlign w:val="center"/>
          </w:tcPr>
          <w:p w14:paraId="593080B1">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399" w:type="pct"/>
            <w:vMerge w:val="restart"/>
            <w:shd w:val="clear" w:color="auto" w:fill="auto"/>
            <w:vAlign w:val="center"/>
          </w:tcPr>
          <w:p w14:paraId="4FD6E4CC">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560" w:type="pct"/>
            <w:gridSpan w:val="2"/>
            <w:shd w:val="clear" w:color="auto" w:fill="auto"/>
            <w:vAlign w:val="center"/>
          </w:tcPr>
          <w:p w14:paraId="479CBC4C">
            <w:pPr>
              <w:widowControl/>
              <w:jc w:val="center"/>
              <w:rPr>
                <w:rFonts w:ascii="宋体" w:hAnsi="宋体" w:cs="宋体"/>
                <w:color w:val="000000"/>
                <w:kern w:val="0"/>
                <w:sz w:val="20"/>
                <w:szCs w:val="20"/>
              </w:rPr>
            </w:pPr>
            <w:r>
              <w:rPr>
                <w:rFonts w:hint="eastAsia" w:ascii="宋体" w:hAnsi="宋体" w:cs="宋体"/>
                <w:color w:val="000000"/>
                <w:kern w:val="0"/>
                <w:sz w:val="20"/>
                <w:szCs w:val="20"/>
              </w:rPr>
              <w:t>展企业对活动满意度</w:t>
            </w:r>
          </w:p>
        </w:tc>
        <w:tc>
          <w:tcPr>
            <w:tcW w:w="285" w:type="pct"/>
            <w:gridSpan w:val="2"/>
            <w:shd w:val="clear" w:color="auto" w:fill="auto"/>
            <w:vAlign w:val="center"/>
          </w:tcPr>
          <w:p w14:paraId="5CA9BAC8">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shd w:val="clear" w:color="auto" w:fill="auto"/>
            <w:vAlign w:val="center"/>
          </w:tcPr>
          <w:p w14:paraId="3587E2B0">
            <w:pPr>
              <w:widowControl/>
              <w:jc w:val="center"/>
              <w:rPr>
                <w:rFonts w:ascii="宋体" w:hAnsi="宋体" w:cs="宋体"/>
                <w:color w:val="000000"/>
                <w:kern w:val="0"/>
                <w:sz w:val="20"/>
                <w:szCs w:val="20"/>
              </w:rPr>
            </w:pPr>
            <w:r>
              <w:rPr>
                <w:rFonts w:hint="eastAsia" w:ascii="宋体" w:hAnsi="宋体" w:cs="宋体"/>
                <w:color w:val="000000"/>
                <w:kern w:val="0"/>
                <w:sz w:val="20"/>
                <w:szCs w:val="20"/>
              </w:rPr>
              <w:t>大于等于</w:t>
            </w:r>
          </w:p>
        </w:tc>
        <w:tc>
          <w:tcPr>
            <w:tcW w:w="487" w:type="pct"/>
            <w:shd w:val="clear" w:color="auto" w:fill="auto"/>
            <w:vAlign w:val="center"/>
          </w:tcPr>
          <w:p w14:paraId="2C722AB6">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611" w:type="pct"/>
            <w:shd w:val="clear" w:color="auto" w:fill="auto"/>
            <w:vAlign w:val="center"/>
          </w:tcPr>
          <w:p w14:paraId="455EDC88">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409" w:type="pct"/>
            <w:shd w:val="clear" w:color="auto" w:fill="auto"/>
            <w:vAlign w:val="center"/>
          </w:tcPr>
          <w:p w14:paraId="12AFB98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05" w:type="pct"/>
            <w:shd w:val="clear" w:color="auto" w:fill="auto"/>
            <w:vAlign w:val="center"/>
          </w:tcPr>
          <w:p w14:paraId="3570558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vAlign w:val="center"/>
          </w:tcPr>
          <w:p w14:paraId="6BE4331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1" w:type="pct"/>
            <w:shd w:val="clear" w:color="auto" w:fill="auto"/>
            <w:vAlign w:val="center"/>
          </w:tcPr>
          <w:p w14:paraId="475D9B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8ED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9" w:type="pct"/>
            <w:vMerge w:val="continue"/>
            <w:vAlign w:val="center"/>
          </w:tcPr>
          <w:p w14:paraId="213D8EC5">
            <w:pPr>
              <w:widowControl/>
              <w:jc w:val="left"/>
              <w:rPr>
                <w:rFonts w:ascii="宋体" w:hAnsi="宋体" w:cs="宋体"/>
                <w:color w:val="000000"/>
                <w:kern w:val="0"/>
                <w:sz w:val="20"/>
                <w:szCs w:val="20"/>
              </w:rPr>
            </w:pPr>
          </w:p>
        </w:tc>
        <w:tc>
          <w:tcPr>
            <w:tcW w:w="322" w:type="pct"/>
            <w:vMerge w:val="continue"/>
            <w:vAlign w:val="center"/>
          </w:tcPr>
          <w:p w14:paraId="7CA342D0">
            <w:pPr>
              <w:widowControl/>
              <w:jc w:val="left"/>
              <w:rPr>
                <w:rFonts w:ascii="宋体" w:hAnsi="宋体" w:cs="宋体"/>
                <w:color w:val="000000"/>
                <w:kern w:val="0"/>
                <w:sz w:val="20"/>
                <w:szCs w:val="20"/>
              </w:rPr>
            </w:pPr>
          </w:p>
        </w:tc>
        <w:tc>
          <w:tcPr>
            <w:tcW w:w="399" w:type="pct"/>
            <w:vMerge w:val="continue"/>
            <w:vAlign w:val="center"/>
          </w:tcPr>
          <w:p w14:paraId="4DA2A426">
            <w:pPr>
              <w:widowControl/>
              <w:jc w:val="left"/>
              <w:rPr>
                <w:rFonts w:ascii="宋体" w:hAnsi="宋体" w:cs="宋体"/>
                <w:color w:val="000000"/>
                <w:kern w:val="0"/>
                <w:sz w:val="20"/>
                <w:szCs w:val="20"/>
              </w:rPr>
            </w:pPr>
          </w:p>
        </w:tc>
        <w:tc>
          <w:tcPr>
            <w:tcW w:w="560" w:type="pct"/>
            <w:gridSpan w:val="2"/>
            <w:shd w:val="clear" w:color="auto" w:fill="auto"/>
            <w:vAlign w:val="center"/>
          </w:tcPr>
          <w:p w14:paraId="0A522102">
            <w:pPr>
              <w:widowControl/>
              <w:jc w:val="center"/>
              <w:rPr>
                <w:rFonts w:ascii="宋体" w:hAnsi="宋体" w:cs="宋体"/>
                <w:color w:val="000000"/>
                <w:kern w:val="0"/>
                <w:sz w:val="20"/>
                <w:szCs w:val="20"/>
              </w:rPr>
            </w:pPr>
            <w:r>
              <w:rPr>
                <w:rFonts w:hint="eastAsia" w:ascii="宋体" w:hAnsi="宋体" w:cs="宋体"/>
                <w:color w:val="000000"/>
                <w:kern w:val="0"/>
                <w:sz w:val="20"/>
                <w:szCs w:val="20"/>
              </w:rPr>
              <w:t>消费者对品牌认可度</w:t>
            </w:r>
          </w:p>
        </w:tc>
        <w:tc>
          <w:tcPr>
            <w:tcW w:w="285" w:type="pct"/>
            <w:gridSpan w:val="2"/>
            <w:shd w:val="clear" w:color="auto" w:fill="auto"/>
            <w:vAlign w:val="center"/>
          </w:tcPr>
          <w:p w14:paraId="61DF2EFD">
            <w:pPr>
              <w:widowControl/>
              <w:jc w:val="center"/>
              <w:rPr>
                <w:rFonts w:ascii="宋体" w:hAnsi="宋体" w:cs="宋体"/>
                <w:color w:val="000000"/>
                <w:kern w:val="0"/>
                <w:sz w:val="20"/>
                <w:szCs w:val="20"/>
              </w:rPr>
            </w:pPr>
            <w:r>
              <w:rPr>
                <w:rFonts w:hint="eastAsia" w:ascii="宋体" w:hAnsi="宋体" w:cs="宋体"/>
                <w:color w:val="000000"/>
                <w:kern w:val="0"/>
                <w:sz w:val="20"/>
                <w:szCs w:val="20"/>
              </w:rPr>
              <w:t>正向</w:t>
            </w:r>
          </w:p>
        </w:tc>
        <w:tc>
          <w:tcPr>
            <w:tcW w:w="353" w:type="pct"/>
            <w:shd w:val="clear" w:color="auto" w:fill="auto"/>
            <w:vAlign w:val="center"/>
          </w:tcPr>
          <w:p w14:paraId="0BE4DF1B">
            <w:pPr>
              <w:widowControl/>
              <w:jc w:val="center"/>
              <w:rPr>
                <w:rFonts w:ascii="宋体" w:hAnsi="宋体" w:cs="宋体"/>
                <w:color w:val="000000"/>
                <w:kern w:val="0"/>
                <w:sz w:val="20"/>
                <w:szCs w:val="20"/>
              </w:rPr>
            </w:pPr>
            <w:r>
              <w:rPr>
                <w:rFonts w:hint="eastAsia" w:ascii="宋体" w:hAnsi="宋体" w:cs="宋体"/>
                <w:color w:val="000000"/>
                <w:kern w:val="0"/>
                <w:sz w:val="20"/>
                <w:szCs w:val="20"/>
              </w:rPr>
              <w:t>等于</w:t>
            </w:r>
          </w:p>
        </w:tc>
        <w:tc>
          <w:tcPr>
            <w:tcW w:w="487" w:type="pct"/>
            <w:shd w:val="clear" w:color="auto" w:fill="auto"/>
            <w:vAlign w:val="center"/>
          </w:tcPr>
          <w:p w14:paraId="065C8477">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611" w:type="pct"/>
            <w:shd w:val="clear" w:color="auto" w:fill="auto"/>
            <w:vAlign w:val="center"/>
          </w:tcPr>
          <w:p w14:paraId="054B653A">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409" w:type="pct"/>
            <w:shd w:val="clear" w:color="auto" w:fill="auto"/>
            <w:vAlign w:val="center"/>
          </w:tcPr>
          <w:p w14:paraId="34E443D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05" w:type="pct"/>
            <w:shd w:val="clear" w:color="auto" w:fill="auto"/>
            <w:vAlign w:val="center"/>
          </w:tcPr>
          <w:p w14:paraId="0C315015">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vAlign w:val="center"/>
          </w:tcPr>
          <w:p w14:paraId="0840DCA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1" w:type="pct"/>
            <w:shd w:val="clear" w:color="auto" w:fill="auto"/>
            <w:vAlign w:val="center"/>
          </w:tcPr>
          <w:p w14:paraId="41FAD7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A3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766" w:type="pct"/>
            <w:gridSpan w:val="11"/>
            <w:shd w:val="clear" w:color="auto" w:fill="auto"/>
            <w:vAlign w:val="center"/>
          </w:tcPr>
          <w:p w14:paraId="64AAA776">
            <w:pPr>
              <w:widowControl/>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405" w:type="pct"/>
            <w:shd w:val="clear" w:color="auto" w:fill="auto"/>
            <w:vAlign w:val="center"/>
          </w:tcPr>
          <w:p w14:paraId="72689EB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419" w:type="pct"/>
            <w:shd w:val="clear" w:color="auto" w:fill="auto"/>
            <w:vAlign w:val="center"/>
          </w:tcPr>
          <w:p w14:paraId="3D65C3F3">
            <w:pPr>
              <w:widowControl/>
              <w:jc w:val="center"/>
              <w:rPr>
                <w:rFonts w:ascii="宋体" w:hAnsi="宋体" w:cs="宋体"/>
                <w:color w:val="000000"/>
                <w:kern w:val="0"/>
                <w:sz w:val="20"/>
                <w:szCs w:val="20"/>
              </w:rPr>
            </w:pPr>
            <w:r>
              <w:rPr>
                <w:rFonts w:hint="eastAsia" w:ascii="宋体" w:hAnsi="宋体" w:cs="宋体"/>
                <w:color w:val="000000"/>
                <w:kern w:val="0"/>
                <w:sz w:val="20"/>
                <w:szCs w:val="20"/>
              </w:rPr>
              <w:t>93.74</w:t>
            </w:r>
          </w:p>
        </w:tc>
        <w:tc>
          <w:tcPr>
            <w:tcW w:w="411" w:type="pct"/>
            <w:shd w:val="clear" w:color="auto" w:fill="auto"/>
            <w:vAlign w:val="center"/>
          </w:tcPr>
          <w:p w14:paraId="53B6EB3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14:paraId="279EABBF">
      <w:pPr>
        <w:widowControl/>
        <w:spacing w:before="240" w:after="240"/>
        <w:ind w:firstLine="420"/>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sz w:val="32"/>
          <w:szCs w:val="32"/>
        </w:rPr>
        <w:t xml:space="preserve"> </w:t>
      </w:r>
      <w:r>
        <w:rPr>
          <w:rFonts w:hint="eastAsia" w:ascii="仿宋" w:hAnsi="仿宋" w:eastAsia="仿宋" w:cs="仿宋"/>
          <w:kern w:val="0"/>
          <w:sz w:val="32"/>
          <w:szCs w:val="32"/>
        </w:rPr>
        <w:t>布病阳性畜扑杀补助资金项目自评综述：根据年初设定的绩效目标，项目自评得分</w:t>
      </w:r>
      <w:r>
        <w:rPr>
          <w:rFonts w:hint="eastAsia" w:ascii="仿宋" w:hAnsi="仿宋" w:eastAsia="仿宋" w:cs="仿宋"/>
          <w:kern w:val="0"/>
          <w:sz w:val="32"/>
          <w:szCs w:val="32"/>
          <w:u w:val="single"/>
        </w:rPr>
        <w:t>100.00</w:t>
      </w:r>
      <w:r>
        <w:rPr>
          <w:rFonts w:hint="eastAsia" w:ascii="仿宋" w:hAnsi="仿宋" w:eastAsia="仿宋" w:cs="仿宋"/>
          <w:kern w:val="0"/>
          <w:sz w:val="32"/>
          <w:szCs w:val="32"/>
        </w:rPr>
        <w:t>分。全年预算数为</w:t>
      </w:r>
      <w:r>
        <w:rPr>
          <w:rFonts w:hint="eastAsia" w:ascii="仿宋" w:hAnsi="仿宋" w:eastAsia="仿宋" w:cs="仿宋"/>
          <w:kern w:val="0"/>
          <w:sz w:val="32"/>
          <w:szCs w:val="32"/>
          <w:u w:val="single"/>
        </w:rPr>
        <w:t>66.00</w:t>
      </w:r>
      <w:r>
        <w:rPr>
          <w:rFonts w:hint="eastAsia" w:ascii="仿宋" w:hAnsi="仿宋" w:eastAsia="仿宋" w:cs="仿宋"/>
          <w:kern w:val="0"/>
          <w:sz w:val="32"/>
          <w:szCs w:val="32"/>
        </w:rPr>
        <w:t>万元，执行数为</w:t>
      </w:r>
      <w:r>
        <w:rPr>
          <w:rFonts w:hint="eastAsia" w:ascii="仿宋" w:hAnsi="仿宋" w:eastAsia="仿宋" w:cs="仿宋"/>
          <w:kern w:val="0"/>
          <w:sz w:val="32"/>
          <w:szCs w:val="32"/>
          <w:u w:val="single"/>
        </w:rPr>
        <w:t>66.00</w:t>
      </w:r>
      <w:r>
        <w:rPr>
          <w:rFonts w:hint="eastAsia" w:ascii="仿宋" w:hAnsi="仿宋" w:eastAsia="仿宋" w:cs="仿宋"/>
          <w:kern w:val="0"/>
          <w:sz w:val="32"/>
          <w:szCs w:val="32"/>
        </w:rPr>
        <w:t>万元，完成预算的</w:t>
      </w:r>
      <w:r>
        <w:rPr>
          <w:rFonts w:hint="eastAsia" w:ascii="仿宋" w:hAnsi="仿宋" w:eastAsia="仿宋" w:cs="仿宋"/>
          <w:kern w:val="0"/>
          <w:sz w:val="32"/>
          <w:szCs w:val="32"/>
          <w:u w:val="single"/>
        </w:rPr>
        <w:t>100.00</w:t>
      </w:r>
      <w:r>
        <w:rPr>
          <w:rFonts w:hint="eastAsia" w:ascii="仿宋" w:hAnsi="仿宋" w:eastAsia="仿宋" w:cs="仿宋"/>
          <w:kern w:val="0"/>
          <w:sz w:val="32"/>
          <w:szCs w:val="32"/>
        </w:rPr>
        <w:t>%。项目绩效目标完成情况：布病防控工作取得显著成效。积极采取“双向流调、强制免疫、监测净化、病畜扑杀、消毒灭源、宣传干预”等一系列综合防控措施，有效遏制布病疫情上升趋势，布病人间网报病例、畜间布病阳性率均呈现下降。2023年人间网报病例695例，2022年798例，同比下降12.9%；畜间布病个体阳性率0.12%，同比下降0.09个百分点，群体阳性率0.98%，同比下降1.56个百分点。2022年检测出来的布病阳性畜全部扑杀无害化处理，共扑杀无害化处理阳性牛31头、阳性羊1254只，按照《锡林郭勒盟布病阳性畜扑杀补助资金管理办法（试行）》要求，补助资金全部发放给养殖户。发现的主要问题及原因：无。下一步改进措施：无。</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806"/>
        <w:gridCol w:w="850"/>
        <w:gridCol w:w="94"/>
        <w:gridCol w:w="894"/>
        <w:gridCol w:w="143"/>
        <w:gridCol w:w="848"/>
        <w:gridCol w:w="285"/>
        <w:gridCol w:w="422"/>
        <w:gridCol w:w="1141"/>
        <w:gridCol w:w="299"/>
        <w:gridCol w:w="695"/>
        <w:gridCol w:w="112"/>
        <w:gridCol w:w="458"/>
        <w:gridCol w:w="566"/>
        <w:gridCol w:w="569"/>
        <w:gridCol w:w="48"/>
        <w:gridCol w:w="864"/>
      </w:tblGrid>
      <w:tr w14:paraId="2953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8"/>
            <w:shd w:val="clear" w:color="auto" w:fill="auto"/>
            <w:vAlign w:val="center"/>
          </w:tcPr>
          <w:p w14:paraId="4361AEFA">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项目支出绩效自评表(2023年度）</w:t>
            </w:r>
          </w:p>
        </w:tc>
      </w:tr>
      <w:tr w14:paraId="7614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8" w:type="pct"/>
            <w:gridSpan w:val="2"/>
            <w:shd w:val="clear" w:color="auto" w:fill="auto"/>
            <w:vAlign w:val="center"/>
          </w:tcPr>
          <w:p w14:paraId="7D8E4DFD">
            <w:pPr>
              <w:widowControl/>
              <w:jc w:val="left"/>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4162" w:type="pct"/>
            <w:gridSpan w:val="16"/>
            <w:shd w:val="clear" w:color="auto" w:fill="auto"/>
            <w:vAlign w:val="center"/>
          </w:tcPr>
          <w:p w14:paraId="52CB0B44">
            <w:pPr>
              <w:widowControl/>
              <w:jc w:val="left"/>
              <w:rPr>
                <w:rFonts w:ascii="宋体" w:hAnsi="宋体" w:cs="宋体"/>
                <w:color w:val="000000"/>
                <w:kern w:val="0"/>
                <w:sz w:val="22"/>
                <w:szCs w:val="22"/>
              </w:rPr>
            </w:pPr>
            <w:r>
              <w:rPr>
                <w:rFonts w:hint="eastAsia" w:ascii="宋体" w:hAnsi="宋体" w:cs="宋体"/>
                <w:color w:val="000000"/>
                <w:kern w:val="0"/>
                <w:sz w:val="22"/>
                <w:szCs w:val="22"/>
              </w:rPr>
              <w:t>布病阳性畜扑杀补助资金</w:t>
            </w:r>
          </w:p>
        </w:tc>
      </w:tr>
      <w:tr w14:paraId="02E9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8" w:type="pct"/>
            <w:gridSpan w:val="2"/>
            <w:shd w:val="clear" w:color="auto" w:fill="auto"/>
            <w:vAlign w:val="center"/>
          </w:tcPr>
          <w:p w14:paraId="2BCBA863">
            <w:pPr>
              <w:widowControl/>
              <w:jc w:val="left"/>
              <w:rPr>
                <w:rFonts w:ascii="宋体" w:hAnsi="宋体" w:cs="宋体"/>
                <w:color w:val="000000"/>
                <w:kern w:val="0"/>
                <w:sz w:val="22"/>
                <w:szCs w:val="22"/>
              </w:rPr>
            </w:pPr>
            <w:r>
              <w:rPr>
                <w:rFonts w:hint="eastAsia" w:ascii="宋体" w:hAnsi="宋体" w:cs="宋体"/>
                <w:color w:val="000000"/>
                <w:kern w:val="0"/>
                <w:sz w:val="22"/>
                <w:szCs w:val="22"/>
              </w:rPr>
              <w:t>主管部门</w:t>
            </w:r>
          </w:p>
        </w:tc>
        <w:tc>
          <w:tcPr>
            <w:tcW w:w="1564" w:type="pct"/>
            <w:gridSpan w:val="6"/>
            <w:shd w:val="clear" w:color="auto" w:fill="auto"/>
            <w:vAlign w:val="center"/>
          </w:tcPr>
          <w:p w14:paraId="544BAFE2">
            <w:pPr>
              <w:widowControl/>
              <w:jc w:val="left"/>
              <w:rPr>
                <w:rFonts w:ascii="宋体" w:hAnsi="宋体" w:cs="宋体"/>
                <w:color w:val="000000"/>
                <w:kern w:val="0"/>
                <w:sz w:val="22"/>
                <w:szCs w:val="22"/>
              </w:rPr>
            </w:pPr>
            <w:r>
              <w:rPr>
                <w:rFonts w:hint="eastAsia" w:ascii="宋体" w:hAnsi="宋体" w:cs="宋体"/>
                <w:color w:val="000000"/>
                <w:kern w:val="0"/>
                <w:sz w:val="22"/>
                <w:szCs w:val="22"/>
              </w:rPr>
              <w:t>锡林郭勒盟农牧局（部门）</w:t>
            </w:r>
          </w:p>
        </w:tc>
        <w:tc>
          <w:tcPr>
            <w:tcW w:w="935" w:type="pct"/>
            <w:gridSpan w:val="3"/>
            <w:shd w:val="clear" w:color="auto" w:fill="auto"/>
            <w:vAlign w:val="center"/>
          </w:tcPr>
          <w:p w14:paraId="39323E58">
            <w:pPr>
              <w:widowControl/>
              <w:jc w:val="left"/>
              <w:rPr>
                <w:rFonts w:ascii="宋体" w:hAnsi="宋体" w:cs="宋体"/>
                <w:color w:val="000000"/>
                <w:kern w:val="0"/>
                <w:sz w:val="22"/>
                <w:szCs w:val="22"/>
              </w:rPr>
            </w:pPr>
            <w:r>
              <w:rPr>
                <w:rFonts w:hint="eastAsia" w:ascii="宋体" w:hAnsi="宋体" w:cs="宋体"/>
                <w:color w:val="000000"/>
                <w:kern w:val="0"/>
                <w:sz w:val="22"/>
                <w:szCs w:val="22"/>
              </w:rPr>
              <w:t>实施单位</w:t>
            </w:r>
          </w:p>
        </w:tc>
        <w:tc>
          <w:tcPr>
            <w:tcW w:w="1663" w:type="pct"/>
            <w:gridSpan w:val="7"/>
            <w:shd w:val="clear" w:color="auto" w:fill="auto"/>
            <w:vAlign w:val="center"/>
          </w:tcPr>
          <w:p w14:paraId="4C16109D">
            <w:pPr>
              <w:widowControl/>
              <w:jc w:val="left"/>
              <w:rPr>
                <w:rFonts w:ascii="宋体" w:hAnsi="宋体" w:cs="宋体"/>
                <w:color w:val="000000"/>
                <w:kern w:val="0"/>
                <w:sz w:val="22"/>
                <w:szCs w:val="22"/>
              </w:rPr>
            </w:pPr>
            <w:r>
              <w:rPr>
                <w:rFonts w:hint="eastAsia" w:ascii="宋体" w:hAnsi="宋体" w:cs="宋体"/>
                <w:color w:val="000000"/>
                <w:kern w:val="0"/>
                <w:sz w:val="22"/>
                <w:szCs w:val="22"/>
              </w:rPr>
              <w:t>锡林郭勒盟农牧局</w:t>
            </w:r>
          </w:p>
        </w:tc>
      </w:tr>
      <w:tr w14:paraId="6C13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8" w:type="pct"/>
            <w:gridSpan w:val="2"/>
            <w:vMerge w:val="restart"/>
            <w:shd w:val="clear" w:color="auto" w:fill="auto"/>
            <w:vAlign w:val="center"/>
          </w:tcPr>
          <w:p w14:paraId="5911C76C">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项目资金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（万元）</w:t>
            </w:r>
          </w:p>
        </w:tc>
        <w:tc>
          <w:tcPr>
            <w:tcW w:w="474" w:type="pct"/>
            <w:gridSpan w:val="2"/>
            <w:shd w:val="clear" w:color="auto" w:fill="auto"/>
            <w:vAlign w:val="center"/>
          </w:tcPr>
          <w:p w14:paraId="703451B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49" w:type="pct"/>
            <w:shd w:val="clear" w:color="auto" w:fill="auto"/>
            <w:vAlign w:val="center"/>
          </w:tcPr>
          <w:p w14:paraId="41305393">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年初预算数</w:t>
            </w:r>
          </w:p>
        </w:tc>
        <w:tc>
          <w:tcPr>
            <w:tcW w:w="641" w:type="pct"/>
            <w:gridSpan w:val="3"/>
            <w:shd w:val="clear" w:color="auto" w:fill="auto"/>
            <w:vAlign w:val="center"/>
          </w:tcPr>
          <w:p w14:paraId="74FDF807">
            <w:pPr>
              <w:widowControl/>
              <w:jc w:val="center"/>
              <w:rPr>
                <w:rFonts w:ascii="宋体" w:hAnsi="宋体" w:cs="宋体"/>
                <w:color w:val="000000"/>
                <w:kern w:val="0"/>
                <w:sz w:val="22"/>
                <w:szCs w:val="22"/>
              </w:rPr>
            </w:pPr>
            <w:r>
              <w:rPr>
                <w:rFonts w:hint="eastAsia" w:ascii="宋体" w:hAnsi="宋体" w:cs="宋体"/>
                <w:color w:val="000000"/>
                <w:kern w:val="0"/>
                <w:sz w:val="22"/>
                <w:szCs w:val="22"/>
              </w:rPr>
              <w:t>全年预算数</w:t>
            </w:r>
          </w:p>
        </w:tc>
        <w:tc>
          <w:tcPr>
            <w:tcW w:w="935" w:type="pct"/>
            <w:gridSpan w:val="3"/>
            <w:shd w:val="clear" w:color="auto" w:fill="auto"/>
            <w:vAlign w:val="center"/>
          </w:tcPr>
          <w:p w14:paraId="72B4834C">
            <w:pPr>
              <w:widowControl/>
              <w:jc w:val="center"/>
              <w:rPr>
                <w:rFonts w:ascii="宋体" w:hAnsi="宋体" w:cs="宋体"/>
                <w:color w:val="000000"/>
                <w:kern w:val="0"/>
                <w:sz w:val="22"/>
                <w:szCs w:val="22"/>
              </w:rPr>
            </w:pPr>
            <w:r>
              <w:rPr>
                <w:rFonts w:hint="eastAsia" w:ascii="宋体" w:hAnsi="宋体" w:cs="宋体"/>
                <w:color w:val="000000"/>
                <w:kern w:val="0"/>
                <w:sz w:val="22"/>
                <w:szCs w:val="22"/>
              </w:rPr>
              <w:t>全年执行数</w:t>
            </w:r>
          </w:p>
        </w:tc>
        <w:tc>
          <w:tcPr>
            <w:tcW w:w="405" w:type="pct"/>
            <w:gridSpan w:val="2"/>
            <w:shd w:val="clear" w:color="auto" w:fill="auto"/>
            <w:vAlign w:val="center"/>
          </w:tcPr>
          <w:p w14:paraId="367E3C94">
            <w:pPr>
              <w:widowControl/>
              <w:jc w:val="center"/>
              <w:rPr>
                <w:rFonts w:ascii="宋体" w:hAnsi="宋体" w:cs="宋体"/>
                <w:color w:val="000000"/>
                <w:kern w:val="0"/>
                <w:sz w:val="22"/>
                <w:szCs w:val="22"/>
              </w:rPr>
            </w:pPr>
            <w:r>
              <w:rPr>
                <w:rFonts w:hint="eastAsia" w:ascii="宋体" w:hAnsi="宋体" w:cs="宋体"/>
                <w:color w:val="000000"/>
                <w:kern w:val="0"/>
                <w:sz w:val="22"/>
                <w:szCs w:val="22"/>
              </w:rPr>
              <w:t>分值</w:t>
            </w:r>
          </w:p>
        </w:tc>
        <w:tc>
          <w:tcPr>
            <w:tcW w:w="824" w:type="pct"/>
            <w:gridSpan w:val="4"/>
            <w:shd w:val="clear" w:color="auto" w:fill="auto"/>
            <w:vAlign w:val="center"/>
          </w:tcPr>
          <w:p w14:paraId="58A99D5F">
            <w:pPr>
              <w:widowControl/>
              <w:jc w:val="center"/>
              <w:rPr>
                <w:rFonts w:ascii="宋体" w:hAnsi="宋体" w:cs="宋体"/>
                <w:color w:val="000000"/>
                <w:kern w:val="0"/>
                <w:sz w:val="22"/>
                <w:szCs w:val="22"/>
              </w:rPr>
            </w:pPr>
            <w:r>
              <w:rPr>
                <w:rFonts w:hint="eastAsia" w:ascii="宋体" w:hAnsi="宋体" w:cs="宋体"/>
                <w:color w:val="000000"/>
                <w:kern w:val="0"/>
                <w:sz w:val="22"/>
                <w:szCs w:val="22"/>
              </w:rPr>
              <w:t>执行率（%）</w:t>
            </w:r>
          </w:p>
        </w:tc>
        <w:tc>
          <w:tcPr>
            <w:tcW w:w="434" w:type="pct"/>
            <w:shd w:val="clear" w:color="auto" w:fill="auto"/>
            <w:vAlign w:val="center"/>
          </w:tcPr>
          <w:p w14:paraId="21CEB4D1">
            <w:pPr>
              <w:widowControl/>
              <w:jc w:val="center"/>
              <w:rPr>
                <w:rFonts w:ascii="宋体" w:hAnsi="宋体" w:cs="宋体"/>
                <w:color w:val="000000"/>
                <w:kern w:val="0"/>
                <w:sz w:val="22"/>
                <w:szCs w:val="22"/>
              </w:rPr>
            </w:pPr>
            <w:r>
              <w:rPr>
                <w:rFonts w:hint="eastAsia" w:ascii="宋体" w:hAnsi="宋体" w:cs="宋体"/>
                <w:color w:val="000000"/>
                <w:kern w:val="0"/>
                <w:sz w:val="22"/>
                <w:szCs w:val="22"/>
              </w:rPr>
              <w:t>得分</w:t>
            </w:r>
          </w:p>
        </w:tc>
      </w:tr>
      <w:tr w14:paraId="1707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8" w:type="pct"/>
            <w:gridSpan w:val="2"/>
            <w:vMerge w:val="continue"/>
            <w:vAlign w:val="center"/>
          </w:tcPr>
          <w:p w14:paraId="274E9F6D">
            <w:pPr>
              <w:widowControl/>
              <w:jc w:val="left"/>
              <w:rPr>
                <w:rFonts w:ascii="宋体" w:hAnsi="宋体" w:cs="宋体"/>
                <w:color w:val="000000"/>
                <w:kern w:val="0"/>
                <w:sz w:val="22"/>
                <w:szCs w:val="22"/>
              </w:rPr>
            </w:pPr>
          </w:p>
        </w:tc>
        <w:tc>
          <w:tcPr>
            <w:tcW w:w="474" w:type="pct"/>
            <w:gridSpan w:val="2"/>
            <w:shd w:val="clear" w:color="auto" w:fill="auto"/>
            <w:vAlign w:val="center"/>
          </w:tcPr>
          <w:p w14:paraId="5C1BAEAA">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年度资金总额</w:t>
            </w:r>
          </w:p>
        </w:tc>
        <w:tc>
          <w:tcPr>
            <w:tcW w:w="449" w:type="pct"/>
            <w:shd w:val="clear" w:color="auto" w:fill="auto"/>
            <w:vAlign w:val="center"/>
          </w:tcPr>
          <w:p w14:paraId="6BF781E4">
            <w:pPr>
              <w:widowControl/>
              <w:jc w:val="right"/>
              <w:rPr>
                <w:rFonts w:ascii="宋体" w:hAnsi="宋体" w:cs="宋体"/>
                <w:color w:val="000000"/>
                <w:kern w:val="0"/>
                <w:sz w:val="22"/>
                <w:szCs w:val="22"/>
              </w:rPr>
            </w:pPr>
            <w:r>
              <w:rPr>
                <w:rFonts w:hint="eastAsia" w:ascii="宋体" w:hAnsi="宋体" w:cs="宋体"/>
                <w:color w:val="000000"/>
                <w:kern w:val="0"/>
                <w:sz w:val="22"/>
                <w:szCs w:val="22"/>
              </w:rPr>
              <w:t>66.00</w:t>
            </w:r>
          </w:p>
        </w:tc>
        <w:tc>
          <w:tcPr>
            <w:tcW w:w="641" w:type="pct"/>
            <w:gridSpan w:val="3"/>
            <w:shd w:val="clear" w:color="auto" w:fill="auto"/>
            <w:vAlign w:val="center"/>
          </w:tcPr>
          <w:p w14:paraId="1158FCC6">
            <w:pPr>
              <w:widowControl/>
              <w:jc w:val="right"/>
              <w:rPr>
                <w:rFonts w:ascii="宋体" w:hAnsi="宋体" w:cs="宋体"/>
                <w:color w:val="000000"/>
                <w:kern w:val="0"/>
                <w:sz w:val="22"/>
                <w:szCs w:val="22"/>
              </w:rPr>
            </w:pPr>
            <w:r>
              <w:rPr>
                <w:rFonts w:hint="eastAsia" w:ascii="宋体" w:hAnsi="宋体" w:cs="宋体"/>
                <w:color w:val="000000"/>
                <w:kern w:val="0"/>
                <w:sz w:val="22"/>
                <w:szCs w:val="22"/>
              </w:rPr>
              <w:t>66.00</w:t>
            </w:r>
          </w:p>
        </w:tc>
        <w:tc>
          <w:tcPr>
            <w:tcW w:w="935" w:type="pct"/>
            <w:gridSpan w:val="3"/>
            <w:shd w:val="clear" w:color="auto" w:fill="auto"/>
            <w:vAlign w:val="center"/>
          </w:tcPr>
          <w:p w14:paraId="40BAD6F2">
            <w:pPr>
              <w:widowControl/>
              <w:jc w:val="right"/>
              <w:rPr>
                <w:rFonts w:ascii="宋体" w:hAnsi="宋体" w:cs="宋体"/>
                <w:color w:val="000000"/>
                <w:kern w:val="0"/>
                <w:sz w:val="22"/>
                <w:szCs w:val="22"/>
              </w:rPr>
            </w:pPr>
            <w:r>
              <w:rPr>
                <w:rFonts w:hint="eastAsia" w:ascii="宋体" w:hAnsi="宋体" w:cs="宋体"/>
                <w:color w:val="000000"/>
                <w:kern w:val="0"/>
                <w:sz w:val="22"/>
                <w:szCs w:val="22"/>
              </w:rPr>
              <w:t>66.00</w:t>
            </w:r>
          </w:p>
        </w:tc>
        <w:tc>
          <w:tcPr>
            <w:tcW w:w="405" w:type="pct"/>
            <w:gridSpan w:val="2"/>
            <w:shd w:val="clear" w:color="auto" w:fill="auto"/>
            <w:vAlign w:val="center"/>
          </w:tcPr>
          <w:p w14:paraId="24F35408">
            <w:pPr>
              <w:widowControl/>
              <w:jc w:val="right"/>
              <w:rPr>
                <w:rFonts w:ascii="宋体" w:hAnsi="宋体" w:cs="宋体"/>
                <w:color w:val="000000"/>
                <w:kern w:val="0"/>
                <w:sz w:val="22"/>
                <w:szCs w:val="22"/>
              </w:rPr>
            </w:pPr>
            <w:r>
              <w:rPr>
                <w:rFonts w:hint="eastAsia" w:ascii="宋体" w:hAnsi="宋体" w:cs="宋体"/>
                <w:color w:val="000000"/>
                <w:kern w:val="0"/>
                <w:sz w:val="22"/>
                <w:szCs w:val="22"/>
              </w:rPr>
              <w:t>10</w:t>
            </w:r>
          </w:p>
        </w:tc>
        <w:tc>
          <w:tcPr>
            <w:tcW w:w="824" w:type="pct"/>
            <w:gridSpan w:val="4"/>
            <w:shd w:val="clear" w:color="auto" w:fill="auto"/>
            <w:vAlign w:val="center"/>
          </w:tcPr>
          <w:p w14:paraId="319C9B22">
            <w:pPr>
              <w:widowControl/>
              <w:jc w:val="right"/>
              <w:rPr>
                <w:rFonts w:ascii="宋体" w:hAnsi="宋体" w:cs="宋体"/>
                <w:color w:val="000000"/>
                <w:kern w:val="0"/>
                <w:sz w:val="22"/>
                <w:szCs w:val="22"/>
              </w:rPr>
            </w:pPr>
            <w:r>
              <w:rPr>
                <w:rFonts w:hint="eastAsia" w:ascii="宋体" w:hAnsi="宋体" w:cs="宋体"/>
                <w:color w:val="000000"/>
                <w:kern w:val="0"/>
                <w:sz w:val="22"/>
                <w:szCs w:val="22"/>
              </w:rPr>
              <w:t>100.00</w:t>
            </w:r>
          </w:p>
        </w:tc>
        <w:tc>
          <w:tcPr>
            <w:tcW w:w="434" w:type="pct"/>
            <w:shd w:val="clear" w:color="auto" w:fill="auto"/>
            <w:vAlign w:val="center"/>
          </w:tcPr>
          <w:p w14:paraId="00ED4353">
            <w:pPr>
              <w:widowControl/>
              <w:jc w:val="right"/>
              <w:rPr>
                <w:rFonts w:ascii="宋体" w:hAnsi="宋体" w:cs="宋体"/>
                <w:color w:val="000000"/>
                <w:kern w:val="0"/>
                <w:sz w:val="22"/>
                <w:szCs w:val="22"/>
              </w:rPr>
            </w:pPr>
            <w:r>
              <w:rPr>
                <w:rFonts w:hint="eastAsia" w:ascii="宋体" w:hAnsi="宋体" w:cs="宋体"/>
                <w:color w:val="000000"/>
                <w:kern w:val="0"/>
                <w:sz w:val="22"/>
                <w:szCs w:val="22"/>
              </w:rPr>
              <w:t>10</w:t>
            </w:r>
          </w:p>
        </w:tc>
      </w:tr>
      <w:tr w14:paraId="06F8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8" w:type="pct"/>
            <w:gridSpan w:val="2"/>
            <w:vMerge w:val="continue"/>
            <w:vAlign w:val="center"/>
          </w:tcPr>
          <w:p w14:paraId="695468FA">
            <w:pPr>
              <w:widowControl/>
              <w:jc w:val="left"/>
              <w:rPr>
                <w:rFonts w:ascii="宋体" w:hAnsi="宋体" w:cs="宋体"/>
                <w:color w:val="000000"/>
                <w:kern w:val="0"/>
                <w:sz w:val="22"/>
                <w:szCs w:val="22"/>
              </w:rPr>
            </w:pPr>
          </w:p>
        </w:tc>
        <w:tc>
          <w:tcPr>
            <w:tcW w:w="474" w:type="pct"/>
            <w:gridSpan w:val="2"/>
            <w:shd w:val="clear" w:color="auto" w:fill="auto"/>
            <w:vAlign w:val="center"/>
          </w:tcPr>
          <w:p w14:paraId="0967A77E">
            <w:pPr>
              <w:widowControl/>
              <w:jc w:val="left"/>
              <w:rPr>
                <w:rFonts w:ascii="宋体" w:hAnsi="宋体" w:cs="宋体"/>
                <w:color w:val="000000"/>
                <w:kern w:val="0"/>
                <w:sz w:val="22"/>
                <w:szCs w:val="22"/>
              </w:rPr>
            </w:pPr>
            <w:r>
              <w:rPr>
                <w:rFonts w:hint="eastAsia" w:ascii="宋体" w:hAnsi="宋体" w:cs="宋体"/>
                <w:color w:val="000000"/>
                <w:kern w:val="0"/>
                <w:sz w:val="22"/>
                <w:szCs w:val="22"/>
              </w:rPr>
              <w:t>其中：财政拨款</w:t>
            </w:r>
          </w:p>
        </w:tc>
        <w:tc>
          <w:tcPr>
            <w:tcW w:w="449" w:type="pct"/>
            <w:shd w:val="clear" w:color="auto" w:fill="auto"/>
            <w:vAlign w:val="center"/>
          </w:tcPr>
          <w:p w14:paraId="1BE4D82F">
            <w:pPr>
              <w:widowControl/>
              <w:jc w:val="right"/>
              <w:rPr>
                <w:rFonts w:ascii="宋体" w:hAnsi="宋体" w:cs="宋体"/>
                <w:color w:val="000000"/>
                <w:kern w:val="0"/>
                <w:sz w:val="22"/>
                <w:szCs w:val="22"/>
              </w:rPr>
            </w:pPr>
            <w:r>
              <w:rPr>
                <w:rFonts w:hint="eastAsia" w:ascii="宋体" w:hAnsi="宋体" w:cs="宋体"/>
                <w:color w:val="000000"/>
                <w:kern w:val="0"/>
                <w:sz w:val="22"/>
                <w:szCs w:val="22"/>
              </w:rPr>
              <w:t>66.00</w:t>
            </w:r>
          </w:p>
        </w:tc>
        <w:tc>
          <w:tcPr>
            <w:tcW w:w="641" w:type="pct"/>
            <w:gridSpan w:val="3"/>
            <w:shd w:val="clear" w:color="auto" w:fill="auto"/>
            <w:vAlign w:val="center"/>
          </w:tcPr>
          <w:p w14:paraId="0A0218B6">
            <w:pPr>
              <w:widowControl/>
              <w:jc w:val="right"/>
              <w:rPr>
                <w:rFonts w:ascii="宋体" w:hAnsi="宋体" w:cs="宋体"/>
                <w:color w:val="000000"/>
                <w:kern w:val="0"/>
                <w:sz w:val="22"/>
                <w:szCs w:val="22"/>
              </w:rPr>
            </w:pPr>
            <w:r>
              <w:rPr>
                <w:rFonts w:hint="eastAsia" w:ascii="宋体" w:hAnsi="宋体" w:cs="宋体"/>
                <w:color w:val="000000"/>
                <w:kern w:val="0"/>
                <w:sz w:val="22"/>
                <w:szCs w:val="22"/>
              </w:rPr>
              <w:t>66.00</w:t>
            </w:r>
          </w:p>
        </w:tc>
        <w:tc>
          <w:tcPr>
            <w:tcW w:w="935" w:type="pct"/>
            <w:gridSpan w:val="3"/>
            <w:shd w:val="clear" w:color="auto" w:fill="auto"/>
            <w:vAlign w:val="center"/>
          </w:tcPr>
          <w:p w14:paraId="2E1D2729">
            <w:pPr>
              <w:widowControl/>
              <w:jc w:val="right"/>
              <w:rPr>
                <w:rFonts w:ascii="宋体" w:hAnsi="宋体" w:cs="宋体"/>
                <w:color w:val="000000"/>
                <w:kern w:val="0"/>
                <w:sz w:val="22"/>
                <w:szCs w:val="22"/>
              </w:rPr>
            </w:pPr>
            <w:r>
              <w:rPr>
                <w:rFonts w:hint="eastAsia" w:ascii="宋体" w:hAnsi="宋体" w:cs="宋体"/>
                <w:color w:val="000000"/>
                <w:kern w:val="0"/>
                <w:sz w:val="22"/>
                <w:szCs w:val="22"/>
              </w:rPr>
              <w:t>66.00</w:t>
            </w:r>
          </w:p>
        </w:tc>
        <w:tc>
          <w:tcPr>
            <w:tcW w:w="405" w:type="pct"/>
            <w:gridSpan w:val="2"/>
            <w:shd w:val="clear" w:color="auto" w:fill="auto"/>
            <w:noWrap/>
            <w:vAlign w:val="center"/>
          </w:tcPr>
          <w:p w14:paraId="0EB17313">
            <w:pPr>
              <w:widowControl/>
              <w:jc w:val="right"/>
              <w:rPr>
                <w:rFonts w:ascii="Arial" w:hAnsi="Arial" w:cs="Arial"/>
                <w:color w:val="222222"/>
                <w:kern w:val="0"/>
                <w:sz w:val="22"/>
                <w:szCs w:val="22"/>
              </w:rPr>
            </w:pPr>
            <w:r>
              <w:rPr>
                <w:rFonts w:ascii="Arial" w:hAnsi="Arial" w:cs="Arial"/>
                <w:color w:val="222222"/>
                <w:kern w:val="0"/>
                <w:sz w:val="22"/>
                <w:szCs w:val="22"/>
              </w:rPr>
              <w:t>——</w:t>
            </w:r>
          </w:p>
        </w:tc>
        <w:tc>
          <w:tcPr>
            <w:tcW w:w="824" w:type="pct"/>
            <w:gridSpan w:val="4"/>
            <w:shd w:val="clear" w:color="auto" w:fill="auto"/>
            <w:vAlign w:val="center"/>
          </w:tcPr>
          <w:p w14:paraId="420AE416">
            <w:pPr>
              <w:widowControl/>
              <w:jc w:val="right"/>
              <w:rPr>
                <w:rFonts w:ascii="宋体" w:hAnsi="宋体" w:cs="宋体"/>
                <w:color w:val="000000"/>
                <w:kern w:val="0"/>
                <w:sz w:val="22"/>
                <w:szCs w:val="22"/>
              </w:rPr>
            </w:pPr>
            <w:r>
              <w:rPr>
                <w:rFonts w:hint="eastAsia" w:ascii="宋体" w:hAnsi="宋体" w:cs="宋体"/>
                <w:color w:val="000000"/>
                <w:kern w:val="0"/>
                <w:sz w:val="22"/>
                <w:szCs w:val="22"/>
              </w:rPr>
              <w:t>100.00</w:t>
            </w:r>
          </w:p>
        </w:tc>
        <w:tc>
          <w:tcPr>
            <w:tcW w:w="434" w:type="pct"/>
            <w:shd w:val="clear" w:color="auto" w:fill="auto"/>
            <w:noWrap/>
            <w:vAlign w:val="center"/>
          </w:tcPr>
          <w:p w14:paraId="62536DAC">
            <w:pPr>
              <w:widowControl/>
              <w:jc w:val="right"/>
              <w:rPr>
                <w:rFonts w:ascii="Arial" w:hAnsi="Arial" w:cs="Arial"/>
                <w:color w:val="222222"/>
                <w:kern w:val="0"/>
                <w:sz w:val="22"/>
                <w:szCs w:val="22"/>
              </w:rPr>
            </w:pPr>
            <w:r>
              <w:rPr>
                <w:rFonts w:ascii="Arial" w:hAnsi="Arial" w:cs="Arial"/>
                <w:color w:val="222222"/>
                <w:kern w:val="0"/>
                <w:sz w:val="22"/>
                <w:szCs w:val="22"/>
              </w:rPr>
              <w:t>——</w:t>
            </w:r>
          </w:p>
        </w:tc>
      </w:tr>
      <w:tr w14:paraId="5948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8" w:type="pct"/>
            <w:gridSpan w:val="2"/>
            <w:vMerge w:val="continue"/>
            <w:vAlign w:val="center"/>
          </w:tcPr>
          <w:p w14:paraId="72495267">
            <w:pPr>
              <w:widowControl/>
              <w:jc w:val="left"/>
              <w:rPr>
                <w:rFonts w:ascii="宋体" w:hAnsi="宋体" w:cs="宋体"/>
                <w:color w:val="000000"/>
                <w:kern w:val="0"/>
                <w:sz w:val="22"/>
                <w:szCs w:val="22"/>
              </w:rPr>
            </w:pPr>
          </w:p>
        </w:tc>
        <w:tc>
          <w:tcPr>
            <w:tcW w:w="474" w:type="pct"/>
            <w:gridSpan w:val="2"/>
            <w:shd w:val="clear" w:color="auto" w:fill="auto"/>
            <w:vAlign w:val="center"/>
          </w:tcPr>
          <w:p w14:paraId="1AF919F1">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上年结转资金</w:t>
            </w:r>
          </w:p>
        </w:tc>
        <w:tc>
          <w:tcPr>
            <w:tcW w:w="449" w:type="pct"/>
            <w:shd w:val="clear" w:color="auto" w:fill="auto"/>
            <w:vAlign w:val="center"/>
          </w:tcPr>
          <w:p w14:paraId="0A6AF71A">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641" w:type="pct"/>
            <w:gridSpan w:val="3"/>
            <w:shd w:val="clear" w:color="auto" w:fill="auto"/>
            <w:vAlign w:val="center"/>
          </w:tcPr>
          <w:p w14:paraId="40827F6C">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935" w:type="pct"/>
            <w:gridSpan w:val="3"/>
            <w:shd w:val="clear" w:color="auto" w:fill="auto"/>
            <w:vAlign w:val="center"/>
          </w:tcPr>
          <w:p w14:paraId="1CEF42DE">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405" w:type="pct"/>
            <w:gridSpan w:val="2"/>
            <w:shd w:val="clear" w:color="auto" w:fill="auto"/>
            <w:noWrap/>
            <w:vAlign w:val="center"/>
          </w:tcPr>
          <w:p w14:paraId="372E9744">
            <w:pPr>
              <w:widowControl/>
              <w:jc w:val="right"/>
              <w:rPr>
                <w:rFonts w:ascii="Arial" w:hAnsi="Arial" w:cs="Arial"/>
                <w:color w:val="222222"/>
                <w:kern w:val="0"/>
                <w:sz w:val="22"/>
                <w:szCs w:val="22"/>
              </w:rPr>
            </w:pPr>
            <w:r>
              <w:rPr>
                <w:rFonts w:ascii="Arial" w:hAnsi="Arial" w:cs="Arial"/>
                <w:color w:val="222222"/>
                <w:kern w:val="0"/>
                <w:sz w:val="22"/>
                <w:szCs w:val="22"/>
              </w:rPr>
              <w:t>——</w:t>
            </w:r>
          </w:p>
        </w:tc>
        <w:tc>
          <w:tcPr>
            <w:tcW w:w="824" w:type="pct"/>
            <w:gridSpan w:val="4"/>
            <w:shd w:val="clear" w:color="auto" w:fill="auto"/>
            <w:vAlign w:val="center"/>
          </w:tcPr>
          <w:p w14:paraId="724D6482">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434" w:type="pct"/>
            <w:shd w:val="clear" w:color="auto" w:fill="auto"/>
            <w:noWrap/>
            <w:vAlign w:val="center"/>
          </w:tcPr>
          <w:p w14:paraId="203ECCE0">
            <w:pPr>
              <w:widowControl/>
              <w:jc w:val="right"/>
              <w:rPr>
                <w:rFonts w:ascii="Arial" w:hAnsi="Arial" w:cs="Arial"/>
                <w:color w:val="222222"/>
                <w:kern w:val="0"/>
                <w:sz w:val="22"/>
                <w:szCs w:val="22"/>
              </w:rPr>
            </w:pPr>
            <w:r>
              <w:rPr>
                <w:rFonts w:ascii="Arial" w:hAnsi="Arial" w:cs="Arial"/>
                <w:color w:val="222222"/>
                <w:kern w:val="0"/>
                <w:sz w:val="22"/>
                <w:szCs w:val="22"/>
              </w:rPr>
              <w:t>——</w:t>
            </w:r>
          </w:p>
        </w:tc>
      </w:tr>
      <w:tr w14:paraId="3B69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8" w:type="pct"/>
            <w:gridSpan w:val="2"/>
            <w:vMerge w:val="continue"/>
            <w:vAlign w:val="center"/>
          </w:tcPr>
          <w:p w14:paraId="00690A3B">
            <w:pPr>
              <w:widowControl/>
              <w:jc w:val="left"/>
              <w:rPr>
                <w:rFonts w:ascii="宋体" w:hAnsi="宋体" w:cs="宋体"/>
                <w:color w:val="000000"/>
                <w:kern w:val="0"/>
                <w:sz w:val="22"/>
                <w:szCs w:val="22"/>
              </w:rPr>
            </w:pPr>
          </w:p>
        </w:tc>
        <w:tc>
          <w:tcPr>
            <w:tcW w:w="474" w:type="pct"/>
            <w:gridSpan w:val="2"/>
            <w:shd w:val="clear" w:color="auto" w:fill="auto"/>
            <w:vAlign w:val="center"/>
          </w:tcPr>
          <w:p w14:paraId="05E4782C">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其他资金</w:t>
            </w:r>
          </w:p>
        </w:tc>
        <w:tc>
          <w:tcPr>
            <w:tcW w:w="449" w:type="pct"/>
            <w:shd w:val="clear" w:color="auto" w:fill="auto"/>
            <w:vAlign w:val="center"/>
          </w:tcPr>
          <w:p w14:paraId="21F016E0">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641" w:type="pct"/>
            <w:gridSpan w:val="3"/>
            <w:shd w:val="clear" w:color="auto" w:fill="auto"/>
            <w:vAlign w:val="center"/>
          </w:tcPr>
          <w:p w14:paraId="47D024CF">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935" w:type="pct"/>
            <w:gridSpan w:val="3"/>
            <w:shd w:val="clear" w:color="auto" w:fill="auto"/>
            <w:vAlign w:val="center"/>
          </w:tcPr>
          <w:p w14:paraId="43D1BE50">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405" w:type="pct"/>
            <w:gridSpan w:val="2"/>
            <w:shd w:val="clear" w:color="auto" w:fill="auto"/>
            <w:noWrap/>
            <w:vAlign w:val="center"/>
          </w:tcPr>
          <w:p w14:paraId="75E8AFF0">
            <w:pPr>
              <w:widowControl/>
              <w:jc w:val="right"/>
              <w:rPr>
                <w:rFonts w:ascii="Arial" w:hAnsi="Arial" w:cs="Arial"/>
                <w:color w:val="222222"/>
                <w:kern w:val="0"/>
                <w:sz w:val="22"/>
                <w:szCs w:val="22"/>
              </w:rPr>
            </w:pPr>
            <w:r>
              <w:rPr>
                <w:rFonts w:ascii="Arial" w:hAnsi="Arial" w:cs="Arial"/>
                <w:color w:val="222222"/>
                <w:kern w:val="0"/>
                <w:sz w:val="22"/>
                <w:szCs w:val="22"/>
              </w:rPr>
              <w:t>——</w:t>
            </w:r>
          </w:p>
        </w:tc>
        <w:tc>
          <w:tcPr>
            <w:tcW w:w="824" w:type="pct"/>
            <w:gridSpan w:val="4"/>
            <w:shd w:val="clear" w:color="auto" w:fill="auto"/>
            <w:vAlign w:val="center"/>
          </w:tcPr>
          <w:p w14:paraId="48F61613">
            <w:pPr>
              <w:widowControl/>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434" w:type="pct"/>
            <w:shd w:val="clear" w:color="auto" w:fill="auto"/>
            <w:noWrap/>
            <w:vAlign w:val="center"/>
          </w:tcPr>
          <w:p w14:paraId="66E23024">
            <w:pPr>
              <w:widowControl/>
              <w:jc w:val="right"/>
              <w:rPr>
                <w:rFonts w:ascii="Arial" w:hAnsi="Arial" w:cs="Arial"/>
                <w:color w:val="222222"/>
                <w:kern w:val="0"/>
                <w:sz w:val="22"/>
                <w:szCs w:val="22"/>
              </w:rPr>
            </w:pPr>
            <w:r>
              <w:rPr>
                <w:rFonts w:ascii="Arial" w:hAnsi="Arial" w:cs="Arial"/>
                <w:color w:val="222222"/>
                <w:kern w:val="0"/>
                <w:sz w:val="22"/>
                <w:szCs w:val="22"/>
              </w:rPr>
              <w:t>——</w:t>
            </w:r>
          </w:p>
        </w:tc>
      </w:tr>
      <w:tr w14:paraId="2594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8" w:type="pct"/>
            <w:gridSpan w:val="2"/>
            <w:vMerge w:val="restart"/>
            <w:shd w:val="clear" w:color="auto" w:fill="auto"/>
            <w:vAlign w:val="center"/>
          </w:tcPr>
          <w:p w14:paraId="402EB2FA">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年度总体目标</w:t>
            </w:r>
          </w:p>
        </w:tc>
        <w:tc>
          <w:tcPr>
            <w:tcW w:w="2349" w:type="pct"/>
            <w:gridSpan w:val="8"/>
            <w:shd w:val="clear" w:color="auto" w:fill="auto"/>
            <w:vAlign w:val="center"/>
          </w:tcPr>
          <w:p w14:paraId="0F6C51A0">
            <w:pPr>
              <w:widowControl/>
              <w:jc w:val="center"/>
              <w:rPr>
                <w:rFonts w:ascii="宋体" w:hAnsi="宋体" w:cs="宋体"/>
                <w:color w:val="000000"/>
                <w:kern w:val="0"/>
                <w:sz w:val="22"/>
                <w:szCs w:val="22"/>
              </w:rPr>
            </w:pPr>
            <w:r>
              <w:rPr>
                <w:rFonts w:hint="eastAsia" w:ascii="宋体" w:hAnsi="宋体" w:cs="宋体"/>
                <w:color w:val="000000"/>
                <w:kern w:val="0"/>
                <w:sz w:val="22"/>
                <w:szCs w:val="22"/>
              </w:rPr>
              <w:t>预期目标</w:t>
            </w:r>
          </w:p>
        </w:tc>
        <w:tc>
          <w:tcPr>
            <w:tcW w:w="1813" w:type="pct"/>
            <w:gridSpan w:val="8"/>
            <w:shd w:val="clear" w:color="auto" w:fill="auto"/>
            <w:vAlign w:val="center"/>
          </w:tcPr>
          <w:p w14:paraId="61E05E2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实际完成情况</w:t>
            </w:r>
          </w:p>
        </w:tc>
      </w:tr>
      <w:tr w14:paraId="2BE3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38" w:type="pct"/>
            <w:gridSpan w:val="2"/>
            <w:vMerge w:val="continue"/>
            <w:vAlign w:val="center"/>
          </w:tcPr>
          <w:p w14:paraId="713CB772">
            <w:pPr>
              <w:widowControl/>
              <w:jc w:val="left"/>
              <w:rPr>
                <w:rFonts w:ascii="宋体" w:hAnsi="宋体" w:cs="宋体"/>
                <w:color w:val="000000"/>
                <w:kern w:val="0"/>
                <w:sz w:val="22"/>
                <w:szCs w:val="22"/>
              </w:rPr>
            </w:pPr>
          </w:p>
        </w:tc>
        <w:tc>
          <w:tcPr>
            <w:tcW w:w="2349" w:type="pct"/>
            <w:gridSpan w:val="8"/>
            <w:shd w:val="clear" w:color="auto" w:fill="auto"/>
            <w:vAlign w:val="center"/>
          </w:tcPr>
          <w:p w14:paraId="434741D1">
            <w:pPr>
              <w:widowControl/>
              <w:jc w:val="center"/>
              <w:rPr>
                <w:rFonts w:ascii="宋体" w:hAnsi="宋体" w:cs="宋体"/>
                <w:color w:val="000000"/>
                <w:kern w:val="0"/>
                <w:sz w:val="22"/>
                <w:szCs w:val="22"/>
              </w:rPr>
            </w:pPr>
            <w:r>
              <w:rPr>
                <w:rFonts w:hint="eastAsia" w:ascii="宋体" w:hAnsi="宋体" w:cs="宋体"/>
                <w:color w:val="000000"/>
                <w:kern w:val="0"/>
                <w:sz w:val="22"/>
                <w:szCs w:val="22"/>
              </w:rPr>
              <w:t>各旗县市（区）监测出来的布病阳性畜全部扑杀。</w:t>
            </w:r>
          </w:p>
        </w:tc>
        <w:tc>
          <w:tcPr>
            <w:tcW w:w="1813" w:type="pct"/>
            <w:gridSpan w:val="8"/>
            <w:shd w:val="clear" w:color="auto" w:fill="auto"/>
            <w:vAlign w:val="center"/>
          </w:tcPr>
          <w:p w14:paraId="0B17DF98">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预算660000.00元、全年预算660000.00元、全年执行数660000.00元。2022年检测出来的布病阳性畜全部扑杀无害化处理，共扑杀无害化处理阳性牛31头、阳性羊1254只，按照《锡林郭勒盟布病阳性畜扑杀补助资金管理办法（试行）》要求，补助资金全部发放给养殖户。</w:t>
            </w:r>
          </w:p>
        </w:tc>
      </w:tr>
      <w:tr w14:paraId="2A04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33" w:type="pct"/>
            <w:shd w:val="clear" w:color="auto" w:fill="auto"/>
            <w:vAlign w:val="center"/>
          </w:tcPr>
          <w:p w14:paraId="0BA4C6CC">
            <w:pPr>
              <w:widowControl/>
              <w:jc w:val="center"/>
              <w:rPr>
                <w:rFonts w:ascii="宋体" w:hAnsi="宋体" w:cs="宋体"/>
                <w:color w:val="000000"/>
                <w:kern w:val="0"/>
                <w:sz w:val="22"/>
                <w:szCs w:val="22"/>
              </w:rPr>
            </w:pPr>
            <w:r>
              <w:rPr>
                <w:rFonts w:hint="eastAsia" w:ascii="宋体" w:hAnsi="宋体" w:cs="宋体"/>
                <w:color w:val="000000"/>
                <w:kern w:val="0"/>
                <w:sz w:val="22"/>
                <w:szCs w:val="22"/>
              </w:rPr>
              <w:t>绩效指标</w:t>
            </w:r>
          </w:p>
        </w:tc>
        <w:tc>
          <w:tcPr>
            <w:tcW w:w="405" w:type="pct"/>
            <w:shd w:val="clear" w:color="auto" w:fill="auto"/>
            <w:vAlign w:val="center"/>
          </w:tcPr>
          <w:p w14:paraId="16306622">
            <w:pPr>
              <w:widowControl/>
              <w:jc w:val="center"/>
              <w:rPr>
                <w:rFonts w:ascii="宋体" w:hAnsi="宋体" w:cs="宋体"/>
                <w:color w:val="000000"/>
                <w:kern w:val="0"/>
                <w:sz w:val="22"/>
                <w:szCs w:val="22"/>
              </w:rPr>
            </w:pPr>
            <w:r>
              <w:rPr>
                <w:rFonts w:hint="eastAsia" w:ascii="宋体" w:hAnsi="宋体" w:cs="宋体"/>
                <w:color w:val="000000"/>
                <w:kern w:val="0"/>
                <w:sz w:val="22"/>
                <w:szCs w:val="22"/>
              </w:rPr>
              <w:t>一级指标</w:t>
            </w:r>
          </w:p>
        </w:tc>
        <w:tc>
          <w:tcPr>
            <w:tcW w:w="427" w:type="pct"/>
            <w:shd w:val="clear" w:color="auto" w:fill="auto"/>
            <w:vAlign w:val="center"/>
          </w:tcPr>
          <w:p w14:paraId="0D411C20">
            <w:pPr>
              <w:widowControl/>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568" w:type="pct"/>
            <w:gridSpan w:val="3"/>
            <w:shd w:val="clear" w:color="auto" w:fill="auto"/>
            <w:vAlign w:val="center"/>
          </w:tcPr>
          <w:p w14:paraId="2C2D05A7">
            <w:pPr>
              <w:widowControl/>
              <w:jc w:val="center"/>
              <w:rPr>
                <w:rFonts w:ascii="宋体" w:hAnsi="宋体" w:cs="宋体"/>
                <w:color w:val="000000"/>
                <w:kern w:val="0"/>
                <w:sz w:val="22"/>
                <w:szCs w:val="22"/>
              </w:rPr>
            </w:pPr>
            <w:r>
              <w:rPr>
                <w:rFonts w:hint="eastAsia" w:ascii="宋体" w:hAnsi="宋体" w:cs="宋体"/>
                <w:color w:val="000000"/>
                <w:kern w:val="0"/>
                <w:sz w:val="22"/>
                <w:szCs w:val="22"/>
              </w:rPr>
              <w:t>三级指标</w:t>
            </w:r>
          </w:p>
        </w:tc>
        <w:tc>
          <w:tcPr>
            <w:tcW w:w="426" w:type="pct"/>
            <w:shd w:val="clear" w:color="auto" w:fill="auto"/>
            <w:vAlign w:val="center"/>
          </w:tcPr>
          <w:p w14:paraId="64D52062">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指标性质</w:t>
            </w:r>
          </w:p>
        </w:tc>
        <w:tc>
          <w:tcPr>
            <w:tcW w:w="355" w:type="pct"/>
            <w:gridSpan w:val="2"/>
            <w:shd w:val="clear" w:color="auto" w:fill="auto"/>
            <w:vAlign w:val="center"/>
          </w:tcPr>
          <w:p w14:paraId="4F8238B1">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指标方向</w:t>
            </w:r>
          </w:p>
        </w:tc>
        <w:tc>
          <w:tcPr>
            <w:tcW w:w="573" w:type="pct"/>
            <w:shd w:val="clear" w:color="auto" w:fill="auto"/>
            <w:vAlign w:val="center"/>
          </w:tcPr>
          <w:p w14:paraId="7D46E3A3">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年度指标值</w:t>
            </w:r>
          </w:p>
        </w:tc>
        <w:tc>
          <w:tcPr>
            <w:tcW w:w="499" w:type="pct"/>
            <w:gridSpan w:val="2"/>
            <w:shd w:val="clear" w:color="auto" w:fill="auto"/>
            <w:vAlign w:val="center"/>
          </w:tcPr>
          <w:p w14:paraId="787418A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实际完成值</w:t>
            </w:r>
          </w:p>
        </w:tc>
        <w:tc>
          <w:tcPr>
            <w:tcW w:w="286" w:type="pct"/>
            <w:gridSpan w:val="2"/>
            <w:shd w:val="clear" w:color="auto" w:fill="auto"/>
            <w:vAlign w:val="center"/>
          </w:tcPr>
          <w:p w14:paraId="4FEED996">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284" w:type="pct"/>
            <w:shd w:val="clear" w:color="auto" w:fill="auto"/>
            <w:vAlign w:val="center"/>
          </w:tcPr>
          <w:p w14:paraId="15FA56CB">
            <w:pPr>
              <w:widowControl/>
              <w:jc w:val="center"/>
              <w:rPr>
                <w:rFonts w:ascii="宋体" w:hAnsi="宋体" w:cs="宋体"/>
                <w:color w:val="000000"/>
                <w:kern w:val="0"/>
                <w:sz w:val="22"/>
                <w:szCs w:val="22"/>
              </w:rPr>
            </w:pPr>
            <w:r>
              <w:rPr>
                <w:rFonts w:hint="eastAsia" w:ascii="宋体" w:hAnsi="宋体" w:cs="宋体"/>
                <w:color w:val="000000"/>
                <w:kern w:val="0"/>
                <w:sz w:val="22"/>
                <w:szCs w:val="22"/>
              </w:rPr>
              <w:t>分值</w:t>
            </w:r>
          </w:p>
        </w:tc>
        <w:tc>
          <w:tcPr>
            <w:tcW w:w="286" w:type="pct"/>
            <w:shd w:val="clear" w:color="auto" w:fill="auto"/>
            <w:vAlign w:val="center"/>
          </w:tcPr>
          <w:p w14:paraId="7940D116">
            <w:pPr>
              <w:widowControl/>
              <w:jc w:val="center"/>
              <w:rPr>
                <w:rFonts w:ascii="宋体" w:hAnsi="宋体" w:cs="宋体"/>
                <w:color w:val="000000"/>
                <w:kern w:val="0"/>
                <w:sz w:val="22"/>
                <w:szCs w:val="22"/>
              </w:rPr>
            </w:pPr>
            <w:r>
              <w:rPr>
                <w:rFonts w:hint="eastAsia" w:ascii="宋体" w:hAnsi="宋体" w:cs="宋体"/>
                <w:color w:val="000000"/>
                <w:kern w:val="0"/>
                <w:sz w:val="22"/>
                <w:szCs w:val="22"/>
              </w:rPr>
              <w:t>得分</w:t>
            </w:r>
          </w:p>
        </w:tc>
        <w:tc>
          <w:tcPr>
            <w:tcW w:w="458" w:type="pct"/>
            <w:gridSpan w:val="2"/>
            <w:shd w:val="clear" w:color="auto" w:fill="auto"/>
            <w:vAlign w:val="center"/>
          </w:tcPr>
          <w:p w14:paraId="189A3C9D">
            <w:pPr>
              <w:widowControl/>
              <w:jc w:val="left"/>
              <w:rPr>
                <w:rFonts w:ascii="宋体" w:hAnsi="宋体" w:cs="宋体"/>
                <w:color w:val="000000"/>
                <w:kern w:val="0"/>
                <w:sz w:val="22"/>
                <w:szCs w:val="22"/>
              </w:rPr>
            </w:pPr>
            <w:r>
              <w:rPr>
                <w:rFonts w:hint="eastAsia" w:ascii="宋体" w:hAnsi="宋体" w:cs="宋体"/>
                <w:color w:val="000000"/>
                <w:kern w:val="0"/>
                <w:sz w:val="22"/>
                <w:szCs w:val="22"/>
              </w:rPr>
              <w:t>偏差原因分析及改进措施</w:t>
            </w:r>
          </w:p>
        </w:tc>
      </w:tr>
      <w:tr w14:paraId="0761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restart"/>
            <w:shd w:val="clear" w:color="auto" w:fill="auto"/>
            <w:vAlign w:val="center"/>
          </w:tcPr>
          <w:p w14:paraId="37D6021D">
            <w:pPr>
              <w:widowControl/>
              <w:jc w:val="center"/>
              <w:rPr>
                <w:rFonts w:ascii="宋体" w:hAnsi="宋体" w:cs="宋体"/>
                <w:color w:val="000000"/>
                <w:kern w:val="0"/>
                <w:sz w:val="22"/>
                <w:szCs w:val="22"/>
              </w:rPr>
            </w:pPr>
            <w:r>
              <w:rPr>
                <w:rFonts w:hint="eastAsia" w:ascii="宋体" w:hAnsi="宋体" w:cs="宋体"/>
                <w:color w:val="000000"/>
                <w:kern w:val="0"/>
                <w:sz w:val="22"/>
                <w:szCs w:val="22"/>
              </w:rPr>
              <w:t>绩效指标</w:t>
            </w:r>
          </w:p>
        </w:tc>
        <w:tc>
          <w:tcPr>
            <w:tcW w:w="405" w:type="pct"/>
            <w:vMerge w:val="restart"/>
            <w:shd w:val="clear" w:color="auto" w:fill="auto"/>
            <w:vAlign w:val="center"/>
          </w:tcPr>
          <w:p w14:paraId="02C2F6F4">
            <w:pPr>
              <w:widowControl/>
              <w:jc w:val="center"/>
              <w:rPr>
                <w:rFonts w:ascii="宋体" w:hAnsi="宋体" w:cs="宋体"/>
                <w:color w:val="000000"/>
                <w:kern w:val="0"/>
                <w:sz w:val="22"/>
                <w:szCs w:val="22"/>
              </w:rPr>
            </w:pPr>
            <w:r>
              <w:rPr>
                <w:rFonts w:hint="eastAsia" w:ascii="宋体" w:hAnsi="宋体" w:cs="宋体"/>
                <w:color w:val="000000"/>
                <w:kern w:val="0"/>
                <w:sz w:val="22"/>
                <w:szCs w:val="22"/>
              </w:rPr>
              <w:t>产出指标</w:t>
            </w:r>
          </w:p>
        </w:tc>
        <w:tc>
          <w:tcPr>
            <w:tcW w:w="427" w:type="pct"/>
            <w:vMerge w:val="restart"/>
            <w:shd w:val="clear" w:color="auto" w:fill="auto"/>
            <w:vAlign w:val="center"/>
          </w:tcPr>
          <w:p w14:paraId="202BCE18">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数量指标</w:t>
            </w:r>
          </w:p>
        </w:tc>
        <w:tc>
          <w:tcPr>
            <w:tcW w:w="568" w:type="pct"/>
            <w:gridSpan w:val="3"/>
            <w:shd w:val="clear" w:color="auto" w:fill="auto"/>
            <w:vAlign w:val="center"/>
          </w:tcPr>
          <w:p w14:paraId="7F9A30A1">
            <w:pPr>
              <w:widowControl/>
              <w:jc w:val="center"/>
              <w:rPr>
                <w:rFonts w:ascii="宋体" w:hAnsi="宋体" w:cs="宋体"/>
                <w:color w:val="000000"/>
                <w:kern w:val="0"/>
                <w:sz w:val="22"/>
                <w:szCs w:val="22"/>
              </w:rPr>
            </w:pPr>
            <w:r>
              <w:rPr>
                <w:rFonts w:hint="eastAsia" w:ascii="宋体" w:hAnsi="宋体" w:cs="宋体"/>
                <w:color w:val="000000"/>
                <w:kern w:val="0"/>
                <w:sz w:val="22"/>
                <w:szCs w:val="22"/>
              </w:rPr>
              <w:t>全盟共监测出布病阳性牛</w:t>
            </w:r>
          </w:p>
        </w:tc>
        <w:tc>
          <w:tcPr>
            <w:tcW w:w="426" w:type="pct"/>
            <w:shd w:val="clear" w:color="auto" w:fill="auto"/>
            <w:vAlign w:val="center"/>
          </w:tcPr>
          <w:p w14:paraId="5B1330E1">
            <w:pPr>
              <w:widowControl/>
              <w:jc w:val="center"/>
              <w:rPr>
                <w:rFonts w:ascii="宋体" w:hAnsi="宋体" w:cs="宋体"/>
                <w:color w:val="000000"/>
                <w:kern w:val="0"/>
                <w:sz w:val="22"/>
                <w:szCs w:val="22"/>
              </w:rPr>
            </w:pPr>
            <w:r>
              <w:rPr>
                <w:rFonts w:hint="eastAsia" w:ascii="宋体" w:hAnsi="宋体" w:cs="宋体"/>
                <w:color w:val="000000"/>
                <w:kern w:val="0"/>
                <w:sz w:val="22"/>
                <w:szCs w:val="22"/>
              </w:rPr>
              <w:t>正向</w:t>
            </w:r>
          </w:p>
        </w:tc>
        <w:tc>
          <w:tcPr>
            <w:tcW w:w="355" w:type="pct"/>
            <w:gridSpan w:val="2"/>
            <w:shd w:val="clear" w:color="auto" w:fill="auto"/>
            <w:vAlign w:val="center"/>
          </w:tcPr>
          <w:p w14:paraId="3EBB5549">
            <w:pPr>
              <w:widowControl/>
              <w:jc w:val="center"/>
              <w:rPr>
                <w:rFonts w:ascii="宋体" w:hAnsi="宋体" w:cs="宋体"/>
                <w:color w:val="000000"/>
                <w:kern w:val="0"/>
                <w:sz w:val="22"/>
                <w:szCs w:val="22"/>
              </w:rPr>
            </w:pPr>
            <w:r>
              <w:rPr>
                <w:rFonts w:hint="eastAsia" w:ascii="宋体" w:hAnsi="宋体" w:cs="宋体"/>
                <w:color w:val="000000"/>
                <w:kern w:val="0"/>
                <w:sz w:val="22"/>
                <w:szCs w:val="22"/>
              </w:rPr>
              <w:t>等于</w:t>
            </w:r>
          </w:p>
        </w:tc>
        <w:tc>
          <w:tcPr>
            <w:tcW w:w="573" w:type="pct"/>
            <w:shd w:val="clear" w:color="auto" w:fill="auto"/>
            <w:vAlign w:val="center"/>
          </w:tcPr>
          <w:p w14:paraId="22FFBAD5">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499" w:type="pct"/>
            <w:gridSpan w:val="2"/>
            <w:shd w:val="clear" w:color="auto" w:fill="auto"/>
            <w:vAlign w:val="center"/>
          </w:tcPr>
          <w:p w14:paraId="301AEB30">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86" w:type="pct"/>
            <w:gridSpan w:val="2"/>
            <w:shd w:val="clear" w:color="auto" w:fill="auto"/>
            <w:vAlign w:val="center"/>
          </w:tcPr>
          <w:p w14:paraId="226D5B2E">
            <w:pPr>
              <w:widowControl/>
              <w:jc w:val="center"/>
              <w:rPr>
                <w:rFonts w:ascii="宋体" w:hAnsi="宋体" w:cs="宋体"/>
                <w:color w:val="000000"/>
                <w:kern w:val="0"/>
                <w:sz w:val="22"/>
                <w:szCs w:val="22"/>
              </w:rPr>
            </w:pPr>
            <w:r>
              <w:rPr>
                <w:rFonts w:hint="eastAsia" w:ascii="宋体" w:hAnsi="宋体" w:cs="宋体"/>
                <w:color w:val="000000"/>
                <w:kern w:val="0"/>
                <w:sz w:val="22"/>
                <w:szCs w:val="22"/>
              </w:rPr>
              <w:t>头</w:t>
            </w:r>
          </w:p>
        </w:tc>
        <w:tc>
          <w:tcPr>
            <w:tcW w:w="284" w:type="pct"/>
            <w:shd w:val="clear" w:color="auto" w:fill="auto"/>
            <w:vAlign w:val="center"/>
          </w:tcPr>
          <w:p w14:paraId="6EB53591">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286" w:type="pct"/>
            <w:shd w:val="clear" w:color="auto" w:fill="auto"/>
            <w:vAlign w:val="center"/>
          </w:tcPr>
          <w:p w14:paraId="01EBF7FA">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458" w:type="pct"/>
            <w:gridSpan w:val="2"/>
            <w:shd w:val="clear" w:color="auto" w:fill="auto"/>
            <w:vAlign w:val="center"/>
          </w:tcPr>
          <w:p w14:paraId="6AA164A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99F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6EFE58E8">
            <w:pPr>
              <w:widowControl/>
              <w:jc w:val="left"/>
              <w:rPr>
                <w:rFonts w:ascii="宋体" w:hAnsi="宋体" w:cs="宋体"/>
                <w:color w:val="000000"/>
                <w:kern w:val="0"/>
                <w:sz w:val="22"/>
                <w:szCs w:val="22"/>
              </w:rPr>
            </w:pPr>
          </w:p>
        </w:tc>
        <w:tc>
          <w:tcPr>
            <w:tcW w:w="405" w:type="pct"/>
            <w:vMerge w:val="continue"/>
            <w:vAlign w:val="center"/>
          </w:tcPr>
          <w:p w14:paraId="6D6B4D9E">
            <w:pPr>
              <w:widowControl/>
              <w:jc w:val="left"/>
              <w:rPr>
                <w:rFonts w:ascii="宋体" w:hAnsi="宋体" w:cs="宋体"/>
                <w:color w:val="000000"/>
                <w:kern w:val="0"/>
                <w:sz w:val="22"/>
                <w:szCs w:val="22"/>
              </w:rPr>
            </w:pPr>
          </w:p>
        </w:tc>
        <w:tc>
          <w:tcPr>
            <w:tcW w:w="427" w:type="pct"/>
            <w:vMerge w:val="continue"/>
            <w:vAlign w:val="center"/>
          </w:tcPr>
          <w:p w14:paraId="10E95590">
            <w:pPr>
              <w:widowControl/>
              <w:jc w:val="left"/>
              <w:rPr>
                <w:rFonts w:ascii="宋体" w:hAnsi="宋体" w:cs="宋体"/>
                <w:color w:val="000000"/>
                <w:kern w:val="0"/>
                <w:sz w:val="22"/>
                <w:szCs w:val="22"/>
              </w:rPr>
            </w:pPr>
          </w:p>
        </w:tc>
        <w:tc>
          <w:tcPr>
            <w:tcW w:w="568" w:type="pct"/>
            <w:gridSpan w:val="3"/>
            <w:shd w:val="clear" w:color="auto" w:fill="auto"/>
            <w:vAlign w:val="center"/>
          </w:tcPr>
          <w:p w14:paraId="53A0F951">
            <w:pPr>
              <w:widowControl/>
              <w:jc w:val="center"/>
              <w:rPr>
                <w:rFonts w:ascii="宋体" w:hAnsi="宋体" w:cs="宋体"/>
                <w:color w:val="000000"/>
                <w:kern w:val="0"/>
                <w:sz w:val="22"/>
                <w:szCs w:val="22"/>
              </w:rPr>
            </w:pPr>
            <w:r>
              <w:rPr>
                <w:rFonts w:hint="eastAsia" w:ascii="宋体" w:hAnsi="宋体" w:cs="宋体"/>
                <w:color w:val="000000"/>
                <w:kern w:val="0"/>
                <w:sz w:val="22"/>
                <w:szCs w:val="22"/>
              </w:rPr>
              <w:t>全盟共监测出布病阳性羊</w:t>
            </w:r>
          </w:p>
        </w:tc>
        <w:tc>
          <w:tcPr>
            <w:tcW w:w="426" w:type="pct"/>
            <w:shd w:val="clear" w:color="auto" w:fill="auto"/>
            <w:vAlign w:val="center"/>
          </w:tcPr>
          <w:p w14:paraId="18D1A825">
            <w:pPr>
              <w:widowControl/>
              <w:jc w:val="center"/>
              <w:rPr>
                <w:rFonts w:ascii="宋体" w:hAnsi="宋体" w:cs="宋体"/>
                <w:color w:val="000000"/>
                <w:kern w:val="0"/>
                <w:sz w:val="22"/>
                <w:szCs w:val="22"/>
              </w:rPr>
            </w:pPr>
            <w:r>
              <w:rPr>
                <w:rFonts w:hint="eastAsia" w:ascii="宋体" w:hAnsi="宋体" w:cs="宋体"/>
                <w:color w:val="000000"/>
                <w:kern w:val="0"/>
                <w:sz w:val="22"/>
                <w:szCs w:val="22"/>
              </w:rPr>
              <w:t>正向</w:t>
            </w:r>
          </w:p>
        </w:tc>
        <w:tc>
          <w:tcPr>
            <w:tcW w:w="355" w:type="pct"/>
            <w:gridSpan w:val="2"/>
            <w:shd w:val="clear" w:color="auto" w:fill="auto"/>
            <w:vAlign w:val="center"/>
          </w:tcPr>
          <w:p w14:paraId="4A4A038B">
            <w:pPr>
              <w:widowControl/>
              <w:jc w:val="center"/>
              <w:rPr>
                <w:rFonts w:ascii="宋体" w:hAnsi="宋体" w:cs="宋体"/>
                <w:color w:val="000000"/>
                <w:kern w:val="0"/>
                <w:sz w:val="22"/>
                <w:szCs w:val="22"/>
              </w:rPr>
            </w:pPr>
            <w:r>
              <w:rPr>
                <w:rFonts w:hint="eastAsia" w:ascii="宋体" w:hAnsi="宋体" w:cs="宋体"/>
                <w:color w:val="000000"/>
                <w:kern w:val="0"/>
                <w:sz w:val="22"/>
                <w:szCs w:val="22"/>
              </w:rPr>
              <w:t>等于</w:t>
            </w:r>
          </w:p>
        </w:tc>
        <w:tc>
          <w:tcPr>
            <w:tcW w:w="573" w:type="pct"/>
            <w:shd w:val="clear" w:color="auto" w:fill="auto"/>
            <w:vAlign w:val="center"/>
          </w:tcPr>
          <w:p w14:paraId="15589111">
            <w:pPr>
              <w:widowControl/>
              <w:jc w:val="center"/>
              <w:rPr>
                <w:rFonts w:ascii="宋体" w:hAnsi="宋体" w:cs="宋体"/>
                <w:color w:val="000000"/>
                <w:kern w:val="0"/>
                <w:sz w:val="22"/>
                <w:szCs w:val="22"/>
              </w:rPr>
            </w:pPr>
            <w:r>
              <w:rPr>
                <w:rFonts w:hint="eastAsia" w:ascii="宋体" w:hAnsi="宋体" w:cs="宋体"/>
                <w:color w:val="000000"/>
                <w:kern w:val="0"/>
                <w:sz w:val="22"/>
                <w:szCs w:val="22"/>
              </w:rPr>
              <w:t>1254</w:t>
            </w:r>
          </w:p>
        </w:tc>
        <w:tc>
          <w:tcPr>
            <w:tcW w:w="499" w:type="pct"/>
            <w:gridSpan w:val="2"/>
            <w:shd w:val="clear" w:color="auto" w:fill="auto"/>
            <w:vAlign w:val="center"/>
          </w:tcPr>
          <w:p w14:paraId="208F901E">
            <w:pPr>
              <w:widowControl/>
              <w:jc w:val="center"/>
              <w:rPr>
                <w:rFonts w:ascii="宋体" w:hAnsi="宋体" w:cs="宋体"/>
                <w:color w:val="000000"/>
                <w:kern w:val="0"/>
                <w:sz w:val="22"/>
                <w:szCs w:val="22"/>
              </w:rPr>
            </w:pPr>
            <w:r>
              <w:rPr>
                <w:rFonts w:hint="eastAsia" w:ascii="宋体" w:hAnsi="宋体" w:cs="宋体"/>
                <w:color w:val="000000"/>
                <w:kern w:val="0"/>
                <w:sz w:val="22"/>
                <w:szCs w:val="22"/>
              </w:rPr>
              <w:t>1254</w:t>
            </w:r>
          </w:p>
        </w:tc>
        <w:tc>
          <w:tcPr>
            <w:tcW w:w="286" w:type="pct"/>
            <w:gridSpan w:val="2"/>
            <w:shd w:val="clear" w:color="auto" w:fill="auto"/>
            <w:vAlign w:val="center"/>
          </w:tcPr>
          <w:p w14:paraId="605286A4">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284" w:type="pct"/>
            <w:shd w:val="clear" w:color="auto" w:fill="auto"/>
            <w:vAlign w:val="center"/>
          </w:tcPr>
          <w:p w14:paraId="3680C7B0">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286" w:type="pct"/>
            <w:shd w:val="clear" w:color="auto" w:fill="auto"/>
            <w:vAlign w:val="center"/>
          </w:tcPr>
          <w:p w14:paraId="62C666DA">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458" w:type="pct"/>
            <w:gridSpan w:val="2"/>
            <w:shd w:val="clear" w:color="auto" w:fill="auto"/>
            <w:vAlign w:val="center"/>
          </w:tcPr>
          <w:p w14:paraId="1ED6671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9EF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49592F92">
            <w:pPr>
              <w:widowControl/>
              <w:jc w:val="left"/>
              <w:rPr>
                <w:rFonts w:ascii="宋体" w:hAnsi="宋体" w:cs="宋体"/>
                <w:color w:val="000000"/>
                <w:kern w:val="0"/>
                <w:sz w:val="22"/>
                <w:szCs w:val="22"/>
              </w:rPr>
            </w:pPr>
          </w:p>
        </w:tc>
        <w:tc>
          <w:tcPr>
            <w:tcW w:w="405" w:type="pct"/>
            <w:vMerge w:val="continue"/>
            <w:vAlign w:val="center"/>
          </w:tcPr>
          <w:p w14:paraId="1221D5B0">
            <w:pPr>
              <w:widowControl/>
              <w:jc w:val="left"/>
              <w:rPr>
                <w:rFonts w:ascii="宋体" w:hAnsi="宋体" w:cs="宋体"/>
                <w:color w:val="000000"/>
                <w:kern w:val="0"/>
                <w:sz w:val="22"/>
                <w:szCs w:val="22"/>
              </w:rPr>
            </w:pPr>
          </w:p>
        </w:tc>
        <w:tc>
          <w:tcPr>
            <w:tcW w:w="427" w:type="pct"/>
            <w:vMerge w:val="restart"/>
            <w:shd w:val="clear" w:color="auto" w:fill="auto"/>
            <w:vAlign w:val="center"/>
          </w:tcPr>
          <w:p w14:paraId="1CAABA3E">
            <w:pPr>
              <w:widowControl/>
              <w:jc w:val="center"/>
              <w:rPr>
                <w:rFonts w:ascii="宋体" w:hAnsi="宋体" w:cs="宋体"/>
                <w:color w:val="000000"/>
                <w:kern w:val="0"/>
                <w:sz w:val="22"/>
                <w:szCs w:val="22"/>
              </w:rPr>
            </w:pPr>
            <w:r>
              <w:rPr>
                <w:rFonts w:hint="eastAsia" w:ascii="宋体" w:hAnsi="宋体" w:cs="宋体"/>
                <w:color w:val="000000"/>
                <w:kern w:val="0"/>
                <w:sz w:val="22"/>
                <w:szCs w:val="22"/>
              </w:rPr>
              <w:t>质量指标</w:t>
            </w:r>
          </w:p>
        </w:tc>
        <w:tc>
          <w:tcPr>
            <w:tcW w:w="568" w:type="pct"/>
            <w:gridSpan w:val="3"/>
            <w:shd w:val="clear" w:color="auto" w:fill="auto"/>
            <w:vAlign w:val="center"/>
          </w:tcPr>
          <w:p w14:paraId="5E62495B">
            <w:pPr>
              <w:widowControl/>
              <w:jc w:val="center"/>
              <w:rPr>
                <w:rFonts w:ascii="宋体" w:hAnsi="宋体" w:cs="宋体"/>
                <w:color w:val="000000"/>
                <w:kern w:val="0"/>
                <w:sz w:val="22"/>
                <w:szCs w:val="22"/>
              </w:rPr>
            </w:pPr>
            <w:r>
              <w:rPr>
                <w:rFonts w:hint="eastAsia" w:ascii="宋体" w:hAnsi="宋体" w:cs="宋体"/>
                <w:color w:val="000000"/>
                <w:kern w:val="0"/>
                <w:sz w:val="22"/>
                <w:szCs w:val="22"/>
              </w:rPr>
              <w:t>布病阳性畜扑杀补助资金全部到位</w:t>
            </w:r>
          </w:p>
        </w:tc>
        <w:tc>
          <w:tcPr>
            <w:tcW w:w="426" w:type="pct"/>
            <w:shd w:val="clear" w:color="auto" w:fill="auto"/>
            <w:vAlign w:val="center"/>
          </w:tcPr>
          <w:p w14:paraId="53D6E864">
            <w:pPr>
              <w:widowControl/>
              <w:jc w:val="center"/>
              <w:rPr>
                <w:rFonts w:ascii="宋体" w:hAnsi="宋体" w:cs="宋体"/>
                <w:color w:val="000000"/>
                <w:kern w:val="0"/>
                <w:sz w:val="22"/>
                <w:szCs w:val="22"/>
              </w:rPr>
            </w:pPr>
            <w:r>
              <w:rPr>
                <w:rFonts w:hint="eastAsia" w:ascii="宋体" w:hAnsi="宋体" w:cs="宋体"/>
                <w:color w:val="000000"/>
                <w:kern w:val="0"/>
                <w:sz w:val="22"/>
                <w:szCs w:val="22"/>
              </w:rPr>
              <w:t>正向</w:t>
            </w:r>
          </w:p>
        </w:tc>
        <w:tc>
          <w:tcPr>
            <w:tcW w:w="355" w:type="pct"/>
            <w:gridSpan w:val="2"/>
            <w:shd w:val="clear" w:color="auto" w:fill="auto"/>
            <w:vAlign w:val="center"/>
          </w:tcPr>
          <w:p w14:paraId="6837824B">
            <w:pPr>
              <w:widowControl/>
              <w:jc w:val="center"/>
              <w:rPr>
                <w:rFonts w:ascii="宋体" w:hAnsi="宋体" w:cs="宋体"/>
                <w:color w:val="000000"/>
                <w:kern w:val="0"/>
                <w:sz w:val="22"/>
                <w:szCs w:val="22"/>
              </w:rPr>
            </w:pPr>
            <w:r>
              <w:rPr>
                <w:rFonts w:hint="eastAsia" w:ascii="宋体" w:hAnsi="宋体" w:cs="宋体"/>
                <w:color w:val="000000"/>
                <w:kern w:val="0"/>
                <w:sz w:val="22"/>
                <w:szCs w:val="22"/>
              </w:rPr>
              <w:t>等于</w:t>
            </w:r>
          </w:p>
        </w:tc>
        <w:tc>
          <w:tcPr>
            <w:tcW w:w="573" w:type="pct"/>
            <w:shd w:val="clear" w:color="auto" w:fill="auto"/>
            <w:vAlign w:val="center"/>
          </w:tcPr>
          <w:p w14:paraId="0493ED99">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99" w:type="pct"/>
            <w:gridSpan w:val="2"/>
            <w:shd w:val="clear" w:color="auto" w:fill="auto"/>
            <w:vAlign w:val="center"/>
          </w:tcPr>
          <w:p w14:paraId="74BA20D7">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286" w:type="pct"/>
            <w:gridSpan w:val="2"/>
            <w:shd w:val="clear" w:color="auto" w:fill="auto"/>
            <w:vAlign w:val="center"/>
          </w:tcPr>
          <w:p w14:paraId="616DCFB9">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84" w:type="pct"/>
            <w:shd w:val="clear" w:color="auto" w:fill="auto"/>
            <w:vAlign w:val="center"/>
          </w:tcPr>
          <w:p w14:paraId="7DFC7275">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286" w:type="pct"/>
            <w:shd w:val="clear" w:color="auto" w:fill="auto"/>
            <w:vAlign w:val="center"/>
          </w:tcPr>
          <w:p w14:paraId="77F050BD">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458" w:type="pct"/>
            <w:gridSpan w:val="2"/>
            <w:shd w:val="clear" w:color="auto" w:fill="auto"/>
            <w:vAlign w:val="center"/>
          </w:tcPr>
          <w:p w14:paraId="75A9883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A9D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29C5ABA7">
            <w:pPr>
              <w:widowControl/>
              <w:jc w:val="left"/>
              <w:rPr>
                <w:rFonts w:ascii="宋体" w:hAnsi="宋体" w:cs="宋体"/>
                <w:color w:val="000000"/>
                <w:kern w:val="0"/>
                <w:sz w:val="22"/>
                <w:szCs w:val="22"/>
              </w:rPr>
            </w:pPr>
          </w:p>
        </w:tc>
        <w:tc>
          <w:tcPr>
            <w:tcW w:w="405" w:type="pct"/>
            <w:vMerge w:val="continue"/>
            <w:vAlign w:val="center"/>
          </w:tcPr>
          <w:p w14:paraId="2013C3E9">
            <w:pPr>
              <w:widowControl/>
              <w:jc w:val="left"/>
              <w:rPr>
                <w:rFonts w:ascii="宋体" w:hAnsi="宋体" w:cs="宋体"/>
                <w:color w:val="000000"/>
                <w:kern w:val="0"/>
                <w:sz w:val="22"/>
                <w:szCs w:val="22"/>
              </w:rPr>
            </w:pPr>
          </w:p>
        </w:tc>
        <w:tc>
          <w:tcPr>
            <w:tcW w:w="427" w:type="pct"/>
            <w:vMerge w:val="continue"/>
            <w:vAlign w:val="center"/>
          </w:tcPr>
          <w:p w14:paraId="4D2C68B8">
            <w:pPr>
              <w:widowControl/>
              <w:jc w:val="left"/>
              <w:rPr>
                <w:rFonts w:ascii="宋体" w:hAnsi="宋体" w:cs="宋体"/>
                <w:color w:val="000000"/>
                <w:kern w:val="0"/>
                <w:sz w:val="22"/>
                <w:szCs w:val="22"/>
              </w:rPr>
            </w:pPr>
          </w:p>
        </w:tc>
        <w:tc>
          <w:tcPr>
            <w:tcW w:w="568" w:type="pct"/>
            <w:gridSpan w:val="3"/>
            <w:shd w:val="clear" w:color="auto" w:fill="auto"/>
            <w:vAlign w:val="center"/>
          </w:tcPr>
          <w:p w14:paraId="2430CD70">
            <w:pPr>
              <w:widowControl/>
              <w:jc w:val="center"/>
              <w:rPr>
                <w:rFonts w:ascii="宋体" w:hAnsi="宋体" w:cs="宋体"/>
                <w:color w:val="000000"/>
                <w:kern w:val="0"/>
                <w:sz w:val="22"/>
                <w:szCs w:val="22"/>
              </w:rPr>
            </w:pPr>
            <w:r>
              <w:rPr>
                <w:rFonts w:hint="eastAsia" w:ascii="宋体" w:hAnsi="宋体" w:cs="宋体"/>
                <w:color w:val="000000"/>
                <w:kern w:val="0"/>
                <w:sz w:val="22"/>
                <w:szCs w:val="22"/>
              </w:rPr>
              <w:t>资金使用率</w:t>
            </w:r>
          </w:p>
        </w:tc>
        <w:tc>
          <w:tcPr>
            <w:tcW w:w="426" w:type="pct"/>
            <w:shd w:val="clear" w:color="auto" w:fill="auto"/>
            <w:vAlign w:val="center"/>
          </w:tcPr>
          <w:p w14:paraId="73B786A8">
            <w:pPr>
              <w:widowControl/>
              <w:jc w:val="center"/>
              <w:rPr>
                <w:rFonts w:ascii="宋体" w:hAnsi="宋体" w:cs="宋体"/>
                <w:color w:val="000000"/>
                <w:kern w:val="0"/>
                <w:sz w:val="22"/>
                <w:szCs w:val="22"/>
              </w:rPr>
            </w:pPr>
            <w:r>
              <w:rPr>
                <w:rFonts w:hint="eastAsia" w:ascii="宋体" w:hAnsi="宋体" w:cs="宋体"/>
                <w:color w:val="000000"/>
                <w:kern w:val="0"/>
                <w:sz w:val="22"/>
                <w:szCs w:val="22"/>
              </w:rPr>
              <w:t>正向</w:t>
            </w:r>
          </w:p>
        </w:tc>
        <w:tc>
          <w:tcPr>
            <w:tcW w:w="355" w:type="pct"/>
            <w:gridSpan w:val="2"/>
            <w:shd w:val="clear" w:color="auto" w:fill="auto"/>
            <w:vAlign w:val="center"/>
          </w:tcPr>
          <w:p w14:paraId="0D19B453">
            <w:pPr>
              <w:widowControl/>
              <w:jc w:val="center"/>
              <w:rPr>
                <w:rFonts w:ascii="宋体" w:hAnsi="宋体" w:cs="宋体"/>
                <w:color w:val="000000"/>
                <w:kern w:val="0"/>
                <w:sz w:val="22"/>
                <w:szCs w:val="22"/>
              </w:rPr>
            </w:pPr>
            <w:r>
              <w:rPr>
                <w:rFonts w:hint="eastAsia" w:ascii="宋体" w:hAnsi="宋体" w:cs="宋体"/>
                <w:color w:val="000000"/>
                <w:kern w:val="0"/>
                <w:sz w:val="22"/>
                <w:szCs w:val="22"/>
              </w:rPr>
              <w:t>等于</w:t>
            </w:r>
          </w:p>
        </w:tc>
        <w:tc>
          <w:tcPr>
            <w:tcW w:w="573" w:type="pct"/>
            <w:shd w:val="clear" w:color="auto" w:fill="auto"/>
            <w:vAlign w:val="center"/>
          </w:tcPr>
          <w:p w14:paraId="3FC36FE4">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99" w:type="pct"/>
            <w:gridSpan w:val="2"/>
            <w:shd w:val="clear" w:color="auto" w:fill="auto"/>
            <w:vAlign w:val="center"/>
          </w:tcPr>
          <w:p w14:paraId="436793C5">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286" w:type="pct"/>
            <w:gridSpan w:val="2"/>
            <w:shd w:val="clear" w:color="auto" w:fill="auto"/>
            <w:vAlign w:val="center"/>
          </w:tcPr>
          <w:p w14:paraId="2D733BAD">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84" w:type="pct"/>
            <w:shd w:val="clear" w:color="auto" w:fill="auto"/>
            <w:vAlign w:val="center"/>
          </w:tcPr>
          <w:p w14:paraId="1C2430D2">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286" w:type="pct"/>
            <w:shd w:val="clear" w:color="auto" w:fill="auto"/>
            <w:vAlign w:val="center"/>
          </w:tcPr>
          <w:p w14:paraId="797CA817">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458" w:type="pct"/>
            <w:gridSpan w:val="2"/>
            <w:shd w:val="clear" w:color="auto" w:fill="auto"/>
            <w:vAlign w:val="center"/>
          </w:tcPr>
          <w:p w14:paraId="6C745A4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9A5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4823401C">
            <w:pPr>
              <w:widowControl/>
              <w:jc w:val="left"/>
              <w:rPr>
                <w:rFonts w:ascii="宋体" w:hAnsi="宋体" w:cs="宋体"/>
                <w:color w:val="000000"/>
                <w:kern w:val="0"/>
                <w:sz w:val="22"/>
                <w:szCs w:val="22"/>
              </w:rPr>
            </w:pPr>
          </w:p>
        </w:tc>
        <w:tc>
          <w:tcPr>
            <w:tcW w:w="405" w:type="pct"/>
            <w:vMerge w:val="continue"/>
            <w:vAlign w:val="center"/>
          </w:tcPr>
          <w:p w14:paraId="2799B963">
            <w:pPr>
              <w:widowControl/>
              <w:jc w:val="left"/>
              <w:rPr>
                <w:rFonts w:ascii="宋体" w:hAnsi="宋体" w:cs="宋体"/>
                <w:color w:val="000000"/>
                <w:kern w:val="0"/>
                <w:sz w:val="22"/>
                <w:szCs w:val="22"/>
              </w:rPr>
            </w:pPr>
          </w:p>
        </w:tc>
        <w:tc>
          <w:tcPr>
            <w:tcW w:w="427" w:type="pct"/>
            <w:vMerge w:val="restart"/>
            <w:shd w:val="clear" w:color="auto" w:fill="auto"/>
            <w:vAlign w:val="center"/>
          </w:tcPr>
          <w:p w14:paraId="1B423947">
            <w:pPr>
              <w:widowControl/>
              <w:jc w:val="center"/>
              <w:rPr>
                <w:rFonts w:ascii="宋体" w:hAnsi="宋体" w:cs="宋体"/>
                <w:color w:val="000000"/>
                <w:kern w:val="0"/>
                <w:sz w:val="22"/>
                <w:szCs w:val="22"/>
              </w:rPr>
            </w:pPr>
            <w:r>
              <w:rPr>
                <w:rFonts w:hint="eastAsia" w:ascii="宋体" w:hAnsi="宋体" w:cs="宋体"/>
                <w:color w:val="000000"/>
                <w:kern w:val="0"/>
                <w:sz w:val="22"/>
                <w:szCs w:val="22"/>
              </w:rPr>
              <w:t>时效指标</w:t>
            </w:r>
          </w:p>
        </w:tc>
        <w:tc>
          <w:tcPr>
            <w:tcW w:w="568" w:type="pct"/>
            <w:gridSpan w:val="3"/>
            <w:shd w:val="clear" w:color="auto" w:fill="auto"/>
            <w:vAlign w:val="center"/>
          </w:tcPr>
          <w:p w14:paraId="198E974E">
            <w:pPr>
              <w:widowControl/>
              <w:jc w:val="center"/>
              <w:rPr>
                <w:rFonts w:ascii="宋体" w:hAnsi="宋体" w:cs="宋体"/>
                <w:color w:val="000000"/>
                <w:kern w:val="0"/>
                <w:sz w:val="22"/>
                <w:szCs w:val="22"/>
              </w:rPr>
            </w:pPr>
            <w:r>
              <w:rPr>
                <w:rFonts w:hint="eastAsia" w:ascii="宋体" w:hAnsi="宋体" w:cs="宋体"/>
                <w:color w:val="000000"/>
                <w:kern w:val="0"/>
                <w:sz w:val="22"/>
                <w:szCs w:val="22"/>
              </w:rPr>
              <w:t>完成时限</w:t>
            </w:r>
          </w:p>
        </w:tc>
        <w:tc>
          <w:tcPr>
            <w:tcW w:w="426" w:type="pct"/>
            <w:shd w:val="clear" w:color="auto" w:fill="auto"/>
            <w:vAlign w:val="center"/>
          </w:tcPr>
          <w:p w14:paraId="16971812">
            <w:pPr>
              <w:widowControl/>
              <w:jc w:val="center"/>
              <w:rPr>
                <w:rFonts w:ascii="宋体" w:hAnsi="宋体" w:cs="宋体"/>
                <w:color w:val="000000"/>
                <w:kern w:val="0"/>
                <w:sz w:val="22"/>
                <w:szCs w:val="22"/>
              </w:rPr>
            </w:pPr>
            <w:r>
              <w:rPr>
                <w:rFonts w:hint="eastAsia" w:ascii="宋体" w:hAnsi="宋体" w:cs="宋体"/>
                <w:color w:val="000000"/>
                <w:kern w:val="0"/>
                <w:sz w:val="22"/>
                <w:szCs w:val="22"/>
              </w:rPr>
              <w:t>定性</w:t>
            </w:r>
          </w:p>
        </w:tc>
        <w:tc>
          <w:tcPr>
            <w:tcW w:w="355" w:type="pct"/>
            <w:gridSpan w:val="2"/>
            <w:shd w:val="clear" w:color="auto" w:fill="auto"/>
            <w:vAlign w:val="center"/>
          </w:tcPr>
          <w:p w14:paraId="16840EF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3" w:type="pct"/>
            <w:shd w:val="clear" w:color="auto" w:fill="auto"/>
            <w:vAlign w:val="center"/>
          </w:tcPr>
          <w:p w14:paraId="40B436E4">
            <w:pPr>
              <w:widowControl/>
              <w:jc w:val="center"/>
              <w:rPr>
                <w:rFonts w:ascii="宋体" w:hAnsi="宋体" w:cs="宋体"/>
                <w:color w:val="000000"/>
                <w:kern w:val="0"/>
                <w:sz w:val="22"/>
                <w:szCs w:val="22"/>
              </w:rPr>
            </w:pPr>
            <w:r>
              <w:rPr>
                <w:rFonts w:hint="eastAsia" w:ascii="宋体" w:hAnsi="宋体" w:cs="宋体"/>
                <w:color w:val="000000"/>
                <w:kern w:val="0"/>
                <w:sz w:val="22"/>
                <w:szCs w:val="22"/>
              </w:rPr>
              <w:t>2023年9月30日前完成</w:t>
            </w:r>
          </w:p>
        </w:tc>
        <w:tc>
          <w:tcPr>
            <w:tcW w:w="499" w:type="pct"/>
            <w:gridSpan w:val="2"/>
            <w:shd w:val="clear" w:color="auto" w:fill="auto"/>
            <w:vAlign w:val="center"/>
          </w:tcPr>
          <w:p w14:paraId="4F63947D">
            <w:pPr>
              <w:widowControl/>
              <w:jc w:val="center"/>
              <w:rPr>
                <w:rFonts w:ascii="宋体" w:hAnsi="宋体" w:cs="宋体"/>
                <w:color w:val="000000"/>
                <w:kern w:val="0"/>
                <w:sz w:val="22"/>
                <w:szCs w:val="22"/>
              </w:rPr>
            </w:pPr>
            <w:r>
              <w:rPr>
                <w:rFonts w:hint="eastAsia" w:ascii="宋体" w:hAnsi="宋体" w:cs="宋体"/>
                <w:color w:val="000000"/>
                <w:kern w:val="0"/>
                <w:sz w:val="22"/>
                <w:szCs w:val="22"/>
              </w:rPr>
              <w:t>按时完成</w:t>
            </w:r>
          </w:p>
        </w:tc>
        <w:tc>
          <w:tcPr>
            <w:tcW w:w="286" w:type="pct"/>
            <w:gridSpan w:val="2"/>
            <w:shd w:val="clear" w:color="auto" w:fill="auto"/>
            <w:vAlign w:val="center"/>
          </w:tcPr>
          <w:p w14:paraId="7D528C7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pct"/>
            <w:shd w:val="clear" w:color="auto" w:fill="auto"/>
            <w:vAlign w:val="center"/>
          </w:tcPr>
          <w:p w14:paraId="6DB56D82">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6" w:type="pct"/>
            <w:shd w:val="clear" w:color="auto" w:fill="auto"/>
            <w:vAlign w:val="center"/>
          </w:tcPr>
          <w:p w14:paraId="0CC09AAA">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58" w:type="pct"/>
            <w:gridSpan w:val="2"/>
            <w:shd w:val="clear" w:color="auto" w:fill="auto"/>
            <w:vAlign w:val="center"/>
          </w:tcPr>
          <w:p w14:paraId="6B90480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1DF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1CE4B7F4">
            <w:pPr>
              <w:widowControl/>
              <w:jc w:val="left"/>
              <w:rPr>
                <w:rFonts w:ascii="宋体" w:hAnsi="宋体" w:cs="宋体"/>
                <w:color w:val="000000"/>
                <w:kern w:val="0"/>
                <w:sz w:val="22"/>
                <w:szCs w:val="22"/>
              </w:rPr>
            </w:pPr>
          </w:p>
        </w:tc>
        <w:tc>
          <w:tcPr>
            <w:tcW w:w="405" w:type="pct"/>
            <w:vMerge w:val="continue"/>
            <w:vAlign w:val="center"/>
          </w:tcPr>
          <w:p w14:paraId="2EDB45EA">
            <w:pPr>
              <w:widowControl/>
              <w:jc w:val="left"/>
              <w:rPr>
                <w:rFonts w:ascii="宋体" w:hAnsi="宋体" w:cs="宋体"/>
                <w:color w:val="000000"/>
                <w:kern w:val="0"/>
                <w:sz w:val="22"/>
                <w:szCs w:val="22"/>
              </w:rPr>
            </w:pPr>
          </w:p>
        </w:tc>
        <w:tc>
          <w:tcPr>
            <w:tcW w:w="427" w:type="pct"/>
            <w:vMerge w:val="continue"/>
            <w:vAlign w:val="center"/>
          </w:tcPr>
          <w:p w14:paraId="31EE6CF3">
            <w:pPr>
              <w:widowControl/>
              <w:jc w:val="left"/>
              <w:rPr>
                <w:rFonts w:ascii="宋体" w:hAnsi="宋体" w:cs="宋体"/>
                <w:color w:val="000000"/>
                <w:kern w:val="0"/>
                <w:sz w:val="22"/>
                <w:szCs w:val="22"/>
              </w:rPr>
            </w:pPr>
          </w:p>
        </w:tc>
        <w:tc>
          <w:tcPr>
            <w:tcW w:w="568" w:type="pct"/>
            <w:gridSpan w:val="3"/>
            <w:shd w:val="clear" w:color="auto" w:fill="auto"/>
            <w:vAlign w:val="center"/>
          </w:tcPr>
          <w:p w14:paraId="37D89F79">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财政资金到位及时率</w:t>
            </w:r>
          </w:p>
        </w:tc>
        <w:tc>
          <w:tcPr>
            <w:tcW w:w="426" w:type="pct"/>
            <w:shd w:val="clear" w:color="auto" w:fill="auto"/>
            <w:vAlign w:val="center"/>
          </w:tcPr>
          <w:p w14:paraId="445B6D9A">
            <w:pPr>
              <w:widowControl/>
              <w:jc w:val="center"/>
              <w:rPr>
                <w:rFonts w:ascii="宋体" w:hAnsi="宋体" w:cs="宋体"/>
                <w:color w:val="000000"/>
                <w:kern w:val="0"/>
                <w:sz w:val="22"/>
                <w:szCs w:val="22"/>
              </w:rPr>
            </w:pPr>
            <w:r>
              <w:rPr>
                <w:rFonts w:hint="eastAsia" w:ascii="宋体" w:hAnsi="宋体" w:cs="宋体"/>
                <w:color w:val="000000"/>
                <w:kern w:val="0"/>
                <w:sz w:val="22"/>
                <w:szCs w:val="22"/>
              </w:rPr>
              <w:t>正向</w:t>
            </w:r>
          </w:p>
        </w:tc>
        <w:tc>
          <w:tcPr>
            <w:tcW w:w="355" w:type="pct"/>
            <w:gridSpan w:val="2"/>
            <w:shd w:val="clear" w:color="auto" w:fill="auto"/>
            <w:vAlign w:val="center"/>
          </w:tcPr>
          <w:p w14:paraId="39390D58">
            <w:pPr>
              <w:widowControl/>
              <w:jc w:val="center"/>
              <w:rPr>
                <w:rFonts w:ascii="宋体" w:hAnsi="宋体" w:cs="宋体"/>
                <w:color w:val="000000"/>
                <w:kern w:val="0"/>
                <w:sz w:val="22"/>
                <w:szCs w:val="22"/>
              </w:rPr>
            </w:pPr>
            <w:r>
              <w:rPr>
                <w:rFonts w:hint="eastAsia" w:ascii="宋体" w:hAnsi="宋体" w:cs="宋体"/>
                <w:color w:val="000000"/>
                <w:kern w:val="0"/>
                <w:sz w:val="22"/>
                <w:szCs w:val="22"/>
              </w:rPr>
              <w:t>等于</w:t>
            </w:r>
          </w:p>
        </w:tc>
        <w:tc>
          <w:tcPr>
            <w:tcW w:w="573" w:type="pct"/>
            <w:shd w:val="clear" w:color="auto" w:fill="auto"/>
            <w:vAlign w:val="center"/>
          </w:tcPr>
          <w:p w14:paraId="3BD73062">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99" w:type="pct"/>
            <w:gridSpan w:val="2"/>
            <w:shd w:val="clear" w:color="auto" w:fill="auto"/>
            <w:vAlign w:val="center"/>
          </w:tcPr>
          <w:p w14:paraId="506D6420">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286" w:type="pct"/>
            <w:gridSpan w:val="2"/>
            <w:shd w:val="clear" w:color="auto" w:fill="auto"/>
            <w:vAlign w:val="center"/>
          </w:tcPr>
          <w:p w14:paraId="2F50AE9A">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84" w:type="pct"/>
            <w:shd w:val="clear" w:color="auto" w:fill="auto"/>
            <w:vAlign w:val="center"/>
          </w:tcPr>
          <w:p w14:paraId="71599FF1">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6" w:type="pct"/>
            <w:shd w:val="clear" w:color="auto" w:fill="auto"/>
            <w:vAlign w:val="center"/>
          </w:tcPr>
          <w:p w14:paraId="02CFC906">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58" w:type="pct"/>
            <w:gridSpan w:val="2"/>
            <w:shd w:val="clear" w:color="auto" w:fill="auto"/>
            <w:vAlign w:val="center"/>
          </w:tcPr>
          <w:p w14:paraId="1C17B83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0BD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585CCDF7">
            <w:pPr>
              <w:widowControl/>
              <w:jc w:val="left"/>
              <w:rPr>
                <w:rFonts w:ascii="宋体" w:hAnsi="宋体" w:cs="宋体"/>
                <w:color w:val="000000"/>
                <w:kern w:val="0"/>
                <w:sz w:val="22"/>
                <w:szCs w:val="22"/>
              </w:rPr>
            </w:pPr>
          </w:p>
        </w:tc>
        <w:tc>
          <w:tcPr>
            <w:tcW w:w="405" w:type="pct"/>
            <w:vMerge w:val="continue"/>
            <w:vAlign w:val="center"/>
          </w:tcPr>
          <w:p w14:paraId="18176EA0">
            <w:pPr>
              <w:widowControl/>
              <w:jc w:val="left"/>
              <w:rPr>
                <w:rFonts w:ascii="宋体" w:hAnsi="宋体" w:cs="宋体"/>
                <w:color w:val="000000"/>
                <w:kern w:val="0"/>
                <w:sz w:val="22"/>
                <w:szCs w:val="22"/>
              </w:rPr>
            </w:pPr>
          </w:p>
        </w:tc>
        <w:tc>
          <w:tcPr>
            <w:tcW w:w="427" w:type="pct"/>
            <w:vMerge w:val="restart"/>
            <w:shd w:val="clear" w:color="auto" w:fill="auto"/>
            <w:vAlign w:val="center"/>
          </w:tcPr>
          <w:p w14:paraId="288CA5F8">
            <w:pPr>
              <w:widowControl/>
              <w:jc w:val="center"/>
              <w:rPr>
                <w:rFonts w:ascii="宋体" w:hAnsi="宋体" w:cs="宋体"/>
                <w:color w:val="000000"/>
                <w:kern w:val="0"/>
                <w:sz w:val="22"/>
                <w:szCs w:val="22"/>
              </w:rPr>
            </w:pPr>
            <w:r>
              <w:rPr>
                <w:rFonts w:hint="eastAsia" w:ascii="宋体" w:hAnsi="宋体" w:cs="宋体"/>
                <w:color w:val="000000"/>
                <w:kern w:val="0"/>
                <w:sz w:val="22"/>
                <w:szCs w:val="22"/>
              </w:rPr>
              <w:t>成本指标</w:t>
            </w:r>
          </w:p>
        </w:tc>
        <w:tc>
          <w:tcPr>
            <w:tcW w:w="568" w:type="pct"/>
            <w:gridSpan w:val="3"/>
            <w:shd w:val="clear" w:color="auto" w:fill="auto"/>
            <w:vAlign w:val="center"/>
          </w:tcPr>
          <w:p w14:paraId="4027D8A9">
            <w:pPr>
              <w:widowControl/>
              <w:jc w:val="center"/>
              <w:rPr>
                <w:rFonts w:ascii="宋体" w:hAnsi="宋体" w:cs="宋体"/>
                <w:color w:val="000000"/>
                <w:kern w:val="0"/>
                <w:sz w:val="22"/>
                <w:szCs w:val="22"/>
              </w:rPr>
            </w:pPr>
            <w:r>
              <w:rPr>
                <w:rFonts w:hint="eastAsia" w:ascii="宋体" w:hAnsi="宋体" w:cs="宋体"/>
                <w:color w:val="000000"/>
                <w:kern w:val="0"/>
                <w:sz w:val="22"/>
                <w:szCs w:val="22"/>
              </w:rPr>
              <w:t>布病阳性畜扑杀补助资金</w:t>
            </w:r>
          </w:p>
        </w:tc>
        <w:tc>
          <w:tcPr>
            <w:tcW w:w="426" w:type="pct"/>
            <w:shd w:val="clear" w:color="auto" w:fill="auto"/>
            <w:vAlign w:val="center"/>
          </w:tcPr>
          <w:p w14:paraId="2F2FAE5B">
            <w:pPr>
              <w:widowControl/>
              <w:jc w:val="center"/>
              <w:rPr>
                <w:rFonts w:ascii="宋体" w:hAnsi="宋体" w:cs="宋体"/>
                <w:color w:val="000000"/>
                <w:kern w:val="0"/>
                <w:sz w:val="22"/>
                <w:szCs w:val="22"/>
              </w:rPr>
            </w:pPr>
            <w:r>
              <w:rPr>
                <w:rFonts w:hint="eastAsia" w:ascii="宋体" w:hAnsi="宋体" w:cs="宋体"/>
                <w:color w:val="000000"/>
                <w:kern w:val="0"/>
                <w:sz w:val="22"/>
                <w:szCs w:val="22"/>
              </w:rPr>
              <w:t>正向</w:t>
            </w:r>
          </w:p>
        </w:tc>
        <w:tc>
          <w:tcPr>
            <w:tcW w:w="355" w:type="pct"/>
            <w:gridSpan w:val="2"/>
            <w:shd w:val="clear" w:color="auto" w:fill="auto"/>
            <w:vAlign w:val="center"/>
          </w:tcPr>
          <w:p w14:paraId="4AAB9DAF">
            <w:pPr>
              <w:widowControl/>
              <w:jc w:val="center"/>
              <w:rPr>
                <w:rFonts w:ascii="宋体" w:hAnsi="宋体" w:cs="宋体"/>
                <w:color w:val="000000"/>
                <w:kern w:val="0"/>
                <w:sz w:val="22"/>
                <w:szCs w:val="22"/>
              </w:rPr>
            </w:pPr>
            <w:r>
              <w:rPr>
                <w:rFonts w:hint="eastAsia" w:ascii="宋体" w:hAnsi="宋体" w:cs="宋体"/>
                <w:color w:val="000000"/>
                <w:kern w:val="0"/>
                <w:sz w:val="22"/>
                <w:szCs w:val="22"/>
              </w:rPr>
              <w:t>等于</w:t>
            </w:r>
          </w:p>
        </w:tc>
        <w:tc>
          <w:tcPr>
            <w:tcW w:w="573" w:type="pct"/>
            <w:shd w:val="clear" w:color="auto" w:fill="auto"/>
            <w:vAlign w:val="center"/>
          </w:tcPr>
          <w:p w14:paraId="0A8A263F">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499" w:type="pct"/>
            <w:gridSpan w:val="2"/>
            <w:shd w:val="clear" w:color="auto" w:fill="auto"/>
            <w:vAlign w:val="center"/>
          </w:tcPr>
          <w:p w14:paraId="53FD7CBE">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286" w:type="pct"/>
            <w:gridSpan w:val="2"/>
            <w:shd w:val="clear" w:color="auto" w:fill="auto"/>
            <w:vAlign w:val="center"/>
          </w:tcPr>
          <w:p w14:paraId="3523563B">
            <w:pPr>
              <w:widowControl/>
              <w:jc w:val="center"/>
              <w:rPr>
                <w:rFonts w:ascii="宋体" w:hAnsi="宋体" w:cs="宋体"/>
                <w:color w:val="000000"/>
                <w:kern w:val="0"/>
                <w:sz w:val="22"/>
                <w:szCs w:val="22"/>
              </w:rPr>
            </w:pPr>
            <w:r>
              <w:rPr>
                <w:rFonts w:hint="eastAsia" w:ascii="宋体" w:hAnsi="宋体" w:cs="宋体"/>
                <w:color w:val="000000"/>
                <w:kern w:val="0"/>
                <w:sz w:val="22"/>
                <w:szCs w:val="22"/>
              </w:rPr>
              <w:t>万元</w:t>
            </w:r>
          </w:p>
        </w:tc>
        <w:tc>
          <w:tcPr>
            <w:tcW w:w="284" w:type="pct"/>
            <w:shd w:val="clear" w:color="auto" w:fill="auto"/>
            <w:vAlign w:val="center"/>
          </w:tcPr>
          <w:p w14:paraId="71B8AF13">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6" w:type="pct"/>
            <w:shd w:val="clear" w:color="auto" w:fill="auto"/>
            <w:vAlign w:val="center"/>
          </w:tcPr>
          <w:p w14:paraId="4803CD16">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58" w:type="pct"/>
            <w:gridSpan w:val="2"/>
            <w:shd w:val="clear" w:color="auto" w:fill="auto"/>
            <w:vAlign w:val="center"/>
          </w:tcPr>
          <w:p w14:paraId="078B9E9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4B0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10AA98FD">
            <w:pPr>
              <w:widowControl/>
              <w:jc w:val="left"/>
              <w:rPr>
                <w:rFonts w:ascii="宋体" w:hAnsi="宋体" w:cs="宋体"/>
                <w:color w:val="000000"/>
                <w:kern w:val="0"/>
                <w:sz w:val="22"/>
                <w:szCs w:val="22"/>
              </w:rPr>
            </w:pPr>
          </w:p>
        </w:tc>
        <w:tc>
          <w:tcPr>
            <w:tcW w:w="405" w:type="pct"/>
            <w:vMerge w:val="continue"/>
            <w:vAlign w:val="center"/>
          </w:tcPr>
          <w:p w14:paraId="4DFDFC0E">
            <w:pPr>
              <w:widowControl/>
              <w:jc w:val="left"/>
              <w:rPr>
                <w:rFonts w:ascii="宋体" w:hAnsi="宋体" w:cs="宋体"/>
                <w:color w:val="000000"/>
                <w:kern w:val="0"/>
                <w:sz w:val="22"/>
                <w:szCs w:val="22"/>
              </w:rPr>
            </w:pPr>
          </w:p>
        </w:tc>
        <w:tc>
          <w:tcPr>
            <w:tcW w:w="427" w:type="pct"/>
            <w:vMerge w:val="continue"/>
            <w:vAlign w:val="center"/>
          </w:tcPr>
          <w:p w14:paraId="4701BA09">
            <w:pPr>
              <w:widowControl/>
              <w:jc w:val="left"/>
              <w:rPr>
                <w:rFonts w:ascii="宋体" w:hAnsi="宋体" w:cs="宋体"/>
                <w:color w:val="000000"/>
                <w:kern w:val="0"/>
                <w:sz w:val="22"/>
                <w:szCs w:val="22"/>
              </w:rPr>
            </w:pPr>
          </w:p>
        </w:tc>
        <w:tc>
          <w:tcPr>
            <w:tcW w:w="568" w:type="pct"/>
            <w:gridSpan w:val="3"/>
            <w:shd w:val="clear" w:color="auto" w:fill="auto"/>
            <w:vAlign w:val="center"/>
          </w:tcPr>
          <w:p w14:paraId="0FA1665B">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预算完成率</w:t>
            </w:r>
          </w:p>
        </w:tc>
        <w:tc>
          <w:tcPr>
            <w:tcW w:w="426" w:type="pct"/>
            <w:shd w:val="clear" w:color="auto" w:fill="auto"/>
            <w:vAlign w:val="center"/>
          </w:tcPr>
          <w:p w14:paraId="575B8C56">
            <w:pPr>
              <w:widowControl/>
              <w:jc w:val="center"/>
              <w:rPr>
                <w:rFonts w:ascii="宋体" w:hAnsi="宋体" w:cs="宋体"/>
                <w:color w:val="000000"/>
                <w:kern w:val="0"/>
                <w:sz w:val="22"/>
                <w:szCs w:val="22"/>
              </w:rPr>
            </w:pPr>
            <w:r>
              <w:rPr>
                <w:rFonts w:hint="eastAsia" w:ascii="宋体" w:hAnsi="宋体" w:cs="宋体"/>
                <w:color w:val="000000"/>
                <w:kern w:val="0"/>
                <w:sz w:val="22"/>
                <w:szCs w:val="22"/>
              </w:rPr>
              <w:t>正向</w:t>
            </w:r>
          </w:p>
        </w:tc>
        <w:tc>
          <w:tcPr>
            <w:tcW w:w="355" w:type="pct"/>
            <w:gridSpan w:val="2"/>
            <w:shd w:val="clear" w:color="auto" w:fill="auto"/>
            <w:vAlign w:val="center"/>
          </w:tcPr>
          <w:p w14:paraId="509135D7">
            <w:pPr>
              <w:widowControl/>
              <w:jc w:val="center"/>
              <w:rPr>
                <w:rFonts w:ascii="宋体" w:hAnsi="宋体" w:cs="宋体"/>
                <w:color w:val="000000"/>
                <w:kern w:val="0"/>
                <w:sz w:val="22"/>
                <w:szCs w:val="22"/>
              </w:rPr>
            </w:pPr>
            <w:r>
              <w:rPr>
                <w:rFonts w:hint="eastAsia" w:ascii="宋体" w:hAnsi="宋体" w:cs="宋体"/>
                <w:color w:val="000000"/>
                <w:kern w:val="0"/>
                <w:sz w:val="22"/>
                <w:szCs w:val="22"/>
              </w:rPr>
              <w:t>大于等于</w:t>
            </w:r>
          </w:p>
        </w:tc>
        <w:tc>
          <w:tcPr>
            <w:tcW w:w="573" w:type="pct"/>
            <w:shd w:val="clear" w:color="auto" w:fill="auto"/>
            <w:vAlign w:val="center"/>
          </w:tcPr>
          <w:p w14:paraId="3A84FC55">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99" w:type="pct"/>
            <w:gridSpan w:val="2"/>
            <w:shd w:val="clear" w:color="auto" w:fill="auto"/>
            <w:vAlign w:val="center"/>
          </w:tcPr>
          <w:p w14:paraId="713DECCF">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286" w:type="pct"/>
            <w:gridSpan w:val="2"/>
            <w:shd w:val="clear" w:color="auto" w:fill="auto"/>
            <w:vAlign w:val="center"/>
          </w:tcPr>
          <w:p w14:paraId="703812A2">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84" w:type="pct"/>
            <w:shd w:val="clear" w:color="auto" w:fill="auto"/>
            <w:vAlign w:val="center"/>
          </w:tcPr>
          <w:p w14:paraId="06984B28">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6" w:type="pct"/>
            <w:shd w:val="clear" w:color="auto" w:fill="auto"/>
            <w:vAlign w:val="center"/>
          </w:tcPr>
          <w:p w14:paraId="788BEDDA">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58" w:type="pct"/>
            <w:gridSpan w:val="2"/>
            <w:shd w:val="clear" w:color="auto" w:fill="auto"/>
            <w:vAlign w:val="center"/>
          </w:tcPr>
          <w:p w14:paraId="396BAAF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8D5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3B6EE979">
            <w:pPr>
              <w:widowControl/>
              <w:jc w:val="left"/>
              <w:rPr>
                <w:rFonts w:ascii="宋体" w:hAnsi="宋体" w:cs="宋体"/>
                <w:color w:val="000000"/>
                <w:kern w:val="0"/>
                <w:sz w:val="22"/>
                <w:szCs w:val="22"/>
              </w:rPr>
            </w:pPr>
          </w:p>
        </w:tc>
        <w:tc>
          <w:tcPr>
            <w:tcW w:w="405" w:type="pct"/>
            <w:vMerge w:val="restart"/>
            <w:shd w:val="clear" w:color="auto" w:fill="auto"/>
            <w:vAlign w:val="center"/>
          </w:tcPr>
          <w:p w14:paraId="63EF191F">
            <w:pPr>
              <w:widowControl/>
              <w:jc w:val="center"/>
              <w:rPr>
                <w:rFonts w:ascii="宋体" w:hAnsi="宋体" w:cs="宋体"/>
                <w:color w:val="000000"/>
                <w:kern w:val="0"/>
                <w:sz w:val="22"/>
                <w:szCs w:val="22"/>
              </w:rPr>
            </w:pPr>
            <w:r>
              <w:rPr>
                <w:rFonts w:hint="eastAsia" w:ascii="宋体" w:hAnsi="宋体" w:cs="宋体"/>
                <w:color w:val="000000"/>
                <w:kern w:val="0"/>
                <w:sz w:val="22"/>
                <w:szCs w:val="22"/>
              </w:rPr>
              <w:t>效益指标</w:t>
            </w:r>
          </w:p>
        </w:tc>
        <w:tc>
          <w:tcPr>
            <w:tcW w:w="427" w:type="pct"/>
            <w:shd w:val="clear" w:color="auto" w:fill="auto"/>
            <w:vAlign w:val="center"/>
          </w:tcPr>
          <w:p w14:paraId="35372CE5">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经济效益</w:t>
            </w:r>
          </w:p>
        </w:tc>
        <w:tc>
          <w:tcPr>
            <w:tcW w:w="568" w:type="pct"/>
            <w:gridSpan w:val="3"/>
            <w:shd w:val="clear" w:color="auto" w:fill="auto"/>
            <w:vAlign w:val="center"/>
          </w:tcPr>
          <w:p w14:paraId="1A167E9C">
            <w:pPr>
              <w:widowControl/>
              <w:jc w:val="center"/>
              <w:rPr>
                <w:rFonts w:ascii="宋体" w:hAnsi="宋体" w:cs="宋体"/>
                <w:color w:val="000000"/>
                <w:kern w:val="0"/>
                <w:sz w:val="22"/>
                <w:szCs w:val="22"/>
              </w:rPr>
            </w:pPr>
            <w:r>
              <w:rPr>
                <w:rFonts w:hint="eastAsia" w:ascii="宋体" w:hAnsi="宋体" w:cs="宋体"/>
                <w:color w:val="000000"/>
                <w:kern w:val="0"/>
                <w:sz w:val="22"/>
                <w:szCs w:val="22"/>
              </w:rPr>
              <w:t>布病阳性畜全部扑杀</w:t>
            </w:r>
          </w:p>
        </w:tc>
        <w:tc>
          <w:tcPr>
            <w:tcW w:w="426" w:type="pct"/>
            <w:shd w:val="clear" w:color="auto" w:fill="auto"/>
            <w:vAlign w:val="center"/>
          </w:tcPr>
          <w:p w14:paraId="68A0CD81">
            <w:pPr>
              <w:widowControl/>
              <w:jc w:val="center"/>
              <w:rPr>
                <w:rFonts w:ascii="宋体" w:hAnsi="宋体" w:cs="宋体"/>
                <w:color w:val="000000"/>
                <w:kern w:val="0"/>
                <w:sz w:val="22"/>
                <w:szCs w:val="22"/>
              </w:rPr>
            </w:pPr>
            <w:r>
              <w:rPr>
                <w:rFonts w:hint="eastAsia" w:ascii="宋体" w:hAnsi="宋体" w:cs="宋体"/>
                <w:color w:val="000000"/>
                <w:kern w:val="0"/>
                <w:sz w:val="22"/>
                <w:szCs w:val="22"/>
              </w:rPr>
              <w:t>定性</w:t>
            </w:r>
          </w:p>
        </w:tc>
        <w:tc>
          <w:tcPr>
            <w:tcW w:w="355" w:type="pct"/>
            <w:gridSpan w:val="2"/>
            <w:shd w:val="clear" w:color="auto" w:fill="auto"/>
            <w:vAlign w:val="center"/>
          </w:tcPr>
          <w:p w14:paraId="33E5440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3" w:type="pct"/>
            <w:shd w:val="clear" w:color="auto" w:fill="auto"/>
            <w:vAlign w:val="center"/>
          </w:tcPr>
          <w:p w14:paraId="1B2A1F0C">
            <w:pPr>
              <w:widowControl/>
              <w:jc w:val="center"/>
              <w:rPr>
                <w:rFonts w:ascii="宋体" w:hAnsi="宋体" w:cs="宋体"/>
                <w:color w:val="000000"/>
                <w:kern w:val="0"/>
                <w:sz w:val="22"/>
                <w:szCs w:val="22"/>
              </w:rPr>
            </w:pPr>
            <w:r>
              <w:rPr>
                <w:rFonts w:hint="eastAsia" w:ascii="宋体" w:hAnsi="宋体" w:cs="宋体"/>
                <w:color w:val="000000"/>
                <w:kern w:val="0"/>
                <w:sz w:val="22"/>
                <w:szCs w:val="22"/>
              </w:rPr>
              <w:t>将农牧民牲畜因病损失降到较低水平。</w:t>
            </w:r>
          </w:p>
        </w:tc>
        <w:tc>
          <w:tcPr>
            <w:tcW w:w="499" w:type="pct"/>
            <w:gridSpan w:val="2"/>
            <w:shd w:val="clear" w:color="auto" w:fill="auto"/>
            <w:vAlign w:val="center"/>
          </w:tcPr>
          <w:p w14:paraId="48DC2961">
            <w:pPr>
              <w:widowControl/>
              <w:jc w:val="center"/>
              <w:rPr>
                <w:rFonts w:ascii="宋体" w:hAnsi="宋体" w:cs="宋体"/>
                <w:color w:val="000000"/>
                <w:kern w:val="0"/>
                <w:sz w:val="22"/>
                <w:szCs w:val="22"/>
              </w:rPr>
            </w:pPr>
            <w:r>
              <w:rPr>
                <w:rFonts w:hint="eastAsia" w:ascii="宋体" w:hAnsi="宋体" w:cs="宋体"/>
                <w:color w:val="000000"/>
                <w:kern w:val="0"/>
                <w:sz w:val="22"/>
                <w:szCs w:val="22"/>
              </w:rPr>
              <w:t>有效降低农牧民损失</w:t>
            </w:r>
          </w:p>
        </w:tc>
        <w:tc>
          <w:tcPr>
            <w:tcW w:w="286" w:type="pct"/>
            <w:gridSpan w:val="2"/>
            <w:shd w:val="clear" w:color="auto" w:fill="auto"/>
            <w:vAlign w:val="center"/>
          </w:tcPr>
          <w:p w14:paraId="6810AEA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pct"/>
            <w:shd w:val="clear" w:color="auto" w:fill="auto"/>
            <w:vAlign w:val="center"/>
          </w:tcPr>
          <w:p w14:paraId="388D6AED">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6" w:type="pct"/>
            <w:shd w:val="clear" w:color="auto" w:fill="auto"/>
            <w:vAlign w:val="center"/>
          </w:tcPr>
          <w:p w14:paraId="6E2B6E55">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58" w:type="pct"/>
            <w:gridSpan w:val="2"/>
            <w:shd w:val="clear" w:color="auto" w:fill="auto"/>
            <w:vAlign w:val="center"/>
          </w:tcPr>
          <w:p w14:paraId="3F7EE58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2EF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4366DF4F">
            <w:pPr>
              <w:widowControl/>
              <w:jc w:val="left"/>
              <w:rPr>
                <w:rFonts w:ascii="宋体" w:hAnsi="宋体" w:cs="宋体"/>
                <w:color w:val="000000"/>
                <w:kern w:val="0"/>
                <w:sz w:val="22"/>
                <w:szCs w:val="22"/>
              </w:rPr>
            </w:pPr>
          </w:p>
        </w:tc>
        <w:tc>
          <w:tcPr>
            <w:tcW w:w="405" w:type="pct"/>
            <w:vMerge w:val="continue"/>
            <w:vAlign w:val="center"/>
          </w:tcPr>
          <w:p w14:paraId="15E55F6D">
            <w:pPr>
              <w:widowControl/>
              <w:jc w:val="left"/>
              <w:rPr>
                <w:rFonts w:ascii="宋体" w:hAnsi="宋体" w:cs="宋体"/>
                <w:color w:val="000000"/>
                <w:kern w:val="0"/>
                <w:sz w:val="22"/>
                <w:szCs w:val="22"/>
              </w:rPr>
            </w:pPr>
          </w:p>
        </w:tc>
        <w:tc>
          <w:tcPr>
            <w:tcW w:w="427" w:type="pct"/>
            <w:shd w:val="clear" w:color="auto" w:fill="auto"/>
            <w:vAlign w:val="center"/>
          </w:tcPr>
          <w:p w14:paraId="262D3550">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社会效益</w:t>
            </w:r>
          </w:p>
        </w:tc>
        <w:tc>
          <w:tcPr>
            <w:tcW w:w="568" w:type="pct"/>
            <w:gridSpan w:val="3"/>
            <w:shd w:val="clear" w:color="auto" w:fill="auto"/>
            <w:vAlign w:val="center"/>
          </w:tcPr>
          <w:p w14:paraId="5DCD7A9E">
            <w:pPr>
              <w:widowControl/>
              <w:jc w:val="center"/>
              <w:rPr>
                <w:rFonts w:ascii="宋体" w:hAnsi="宋体" w:cs="宋体"/>
                <w:color w:val="000000"/>
                <w:kern w:val="0"/>
                <w:sz w:val="22"/>
                <w:szCs w:val="22"/>
              </w:rPr>
            </w:pPr>
            <w:r>
              <w:rPr>
                <w:rFonts w:hint="eastAsia" w:ascii="宋体" w:hAnsi="宋体" w:cs="宋体"/>
                <w:color w:val="000000"/>
                <w:kern w:val="0"/>
                <w:sz w:val="22"/>
                <w:szCs w:val="22"/>
              </w:rPr>
              <w:t>布病阳性畜全部扑杀无害化处理</w:t>
            </w:r>
          </w:p>
        </w:tc>
        <w:tc>
          <w:tcPr>
            <w:tcW w:w="426" w:type="pct"/>
            <w:shd w:val="clear" w:color="auto" w:fill="auto"/>
            <w:vAlign w:val="center"/>
          </w:tcPr>
          <w:p w14:paraId="78F4DCF6">
            <w:pPr>
              <w:widowControl/>
              <w:jc w:val="center"/>
              <w:rPr>
                <w:rFonts w:ascii="宋体" w:hAnsi="宋体" w:cs="宋体"/>
                <w:color w:val="000000"/>
                <w:kern w:val="0"/>
                <w:sz w:val="22"/>
                <w:szCs w:val="22"/>
              </w:rPr>
            </w:pPr>
            <w:r>
              <w:rPr>
                <w:rFonts w:hint="eastAsia" w:ascii="宋体" w:hAnsi="宋体" w:cs="宋体"/>
                <w:color w:val="000000"/>
                <w:kern w:val="0"/>
                <w:sz w:val="22"/>
                <w:szCs w:val="22"/>
              </w:rPr>
              <w:t>定性</w:t>
            </w:r>
          </w:p>
        </w:tc>
        <w:tc>
          <w:tcPr>
            <w:tcW w:w="355" w:type="pct"/>
            <w:gridSpan w:val="2"/>
            <w:shd w:val="clear" w:color="auto" w:fill="auto"/>
            <w:vAlign w:val="center"/>
          </w:tcPr>
          <w:p w14:paraId="0288BFD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3" w:type="pct"/>
            <w:shd w:val="clear" w:color="auto" w:fill="auto"/>
            <w:vAlign w:val="center"/>
          </w:tcPr>
          <w:p w14:paraId="0FFAA239">
            <w:pPr>
              <w:widowControl/>
              <w:jc w:val="center"/>
              <w:rPr>
                <w:rFonts w:ascii="宋体" w:hAnsi="宋体" w:cs="宋体"/>
                <w:color w:val="000000"/>
                <w:kern w:val="0"/>
                <w:sz w:val="22"/>
                <w:szCs w:val="22"/>
              </w:rPr>
            </w:pPr>
            <w:r>
              <w:rPr>
                <w:rFonts w:hint="eastAsia" w:ascii="宋体" w:hAnsi="宋体" w:cs="宋体"/>
                <w:color w:val="000000"/>
                <w:kern w:val="0"/>
                <w:sz w:val="22"/>
                <w:szCs w:val="22"/>
              </w:rPr>
              <w:t>做好消毒灭源消除疫病感染风险</w:t>
            </w:r>
          </w:p>
        </w:tc>
        <w:tc>
          <w:tcPr>
            <w:tcW w:w="499" w:type="pct"/>
            <w:gridSpan w:val="2"/>
            <w:shd w:val="clear" w:color="auto" w:fill="auto"/>
            <w:vAlign w:val="center"/>
          </w:tcPr>
          <w:p w14:paraId="334B00BD">
            <w:pPr>
              <w:widowControl/>
              <w:jc w:val="center"/>
              <w:rPr>
                <w:rFonts w:ascii="宋体" w:hAnsi="宋体" w:cs="宋体"/>
                <w:color w:val="000000"/>
                <w:kern w:val="0"/>
                <w:sz w:val="22"/>
                <w:szCs w:val="22"/>
              </w:rPr>
            </w:pPr>
            <w:r>
              <w:rPr>
                <w:rFonts w:hint="eastAsia" w:ascii="宋体" w:hAnsi="宋体" w:cs="宋体"/>
                <w:color w:val="000000"/>
                <w:kern w:val="0"/>
                <w:sz w:val="22"/>
                <w:szCs w:val="22"/>
              </w:rPr>
              <w:t>全面消毒，消除感染风险。</w:t>
            </w:r>
          </w:p>
        </w:tc>
        <w:tc>
          <w:tcPr>
            <w:tcW w:w="286" w:type="pct"/>
            <w:gridSpan w:val="2"/>
            <w:shd w:val="clear" w:color="auto" w:fill="auto"/>
            <w:vAlign w:val="center"/>
          </w:tcPr>
          <w:p w14:paraId="6329C12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pct"/>
            <w:shd w:val="clear" w:color="auto" w:fill="auto"/>
            <w:vAlign w:val="center"/>
          </w:tcPr>
          <w:p w14:paraId="5BBCC016">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86" w:type="pct"/>
            <w:shd w:val="clear" w:color="auto" w:fill="auto"/>
            <w:vAlign w:val="center"/>
          </w:tcPr>
          <w:p w14:paraId="394B8B2D">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58" w:type="pct"/>
            <w:gridSpan w:val="2"/>
            <w:shd w:val="clear" w:color="auto" w:fill="auto"/>
            <w:vAlign w:val="center"/>
          </w:tcPr>
          <w:p w14:paraId="1443128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C69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1B04BD0E">
            <w:pPr>
              <w:widowControl/>
              <w:jc w:val="left"/>
              <w:rPr>
                <w:rFonts w:ascii="宋体" w:hAnsi="宋体" w:cs="宋体"/>
                <w:color w:val="000000"/>
                <w:kern w:val="0"/>
                <w:sz w:val="22"/>
                <w:szCs w:val="22"/>
              </w:rPr>
            </w:pPr>
          </w:p>
        </w:tc>
        <w:tc>
          <w:tcPr>
            <w:tcW w:w="405" w:type="pct"/>
            <w:vMerge w:val="continue"/>
            <w:vAlign w:val="center"/>
          </w:tcPr>
          <w:p w14:paraId="2A783CEC">
            <w:pPr>
              <w:widowControl/>
              <w:jc w:val="left"/>
              <w:rPr>
                <w:rFonts w:ascii="宋体" w:hAnsi="宋体" w:cs="宋体"/>
                <w:color w:val="000000"/>
                <w:kern w:val="0"/>
                <w:sz w:val="22"/>
                <w:szCs w:val="22"/>
              </w:rPr>
            </w:pPr>
          </w:p>
        </w:tc>
        <w:tc>
          <w:tcPr>
            <w:tcW w:w="427" w:type="pct"/>
            <w:shd w:val="clear" w:color="auto" w:fill="auto"/>
            <w:vAlign w:val="center"/>
          </w:tcPr>
          <w:p w14:paraId="3BFAF4EC">
            <w:pPr>
              <w:widowControl/>
              <w:jc w:val="center"/>
              <w:rPr>
                <w:rFonts w:ascii="宋体" w:hAnsi="宋体" w:cs="宋体"/>
                <w:color w:val="000000"/>
                <w:kern w:val="0"/>
                <w:sz w:val="22"/>
                <w:szCs w:val="22"/>
              </w:rPr>
            </w:pPr>
            <w:r>
              <w:rPr>
                <w:rFonts w:hint="eastAsia" w:ascii="宋体" w:hAnsi="宋体" w:cs="宋体"/>
                <w:color w:val="000000"/>
                <w:kern w:val="0"/>
                <w:sz w:val="22"/>
                <w:szCs w:val="22"/>
              </w:rPr>
              <w:t>生态效益</w:t>
            </w:r>
          </w:p>
        </w:tc>
        <w:tc>
          <w:tcPr>
            <w:tcW w:w="568" w:type="pct"/>
            <w:gridSpan w:val="3"/>
            <w:shd w:val="clear" w:color="auto" w:fill="auto"/>
            <w:vAlign w:val="center"/>
          </w:tcPr>
          <w:p w14:paraId="6FFA6892">
            <w:pPr>
              <w:widowControl/>
              <w:jc w:val="center"/>
              <w:rPr>
                <w:rFonts w:ascii="宋体" w:hAnsi="宋体" w:cs="宋体"/>
                <w:color w:val="000000"/>
                <w:kern w:val="0"/>
                <w:sz w:val="22"/>
                <w:szCs w:val="22"/>
              </w:rPr>
            </w:pPr>
            <w:r>
              <w:rPr>
                <w:rFonts w:hint="eastAsia" w:ascii="宋体" w:hAnsi="宋体" w:cs="宋体"/>
                <w:color w:val="000000"/>
                <w:kern w:val="0"/>
                <w:sz w:val="22"/>
                <w:szCs w:val="22"/>
              </w:rPr>
              <w:t>规范处置布病阳性畜</w:t>
            </w:r>
          </w:p>
        </w:tc>
        <w:tc>
          <w:tcPr>
            <w:tcW w:w="426" w:type="pct"/>
            <w:shd w:val="clear" w:color="auto" w:fill="auto"/>
            <w:vAlign w:val="center"/>
          </w:tcPr>
          <w:p w14:paraId="46242D68">
            <w:pPr>
              <w:widowControl/>
              <w:jc w:val="center"/>
              <w:rPr>
                <w:rFonts w:ascii="宋体" w:hAnsi="宋体" w:cs="宋体"/>
                <w:color w:val="000000"/>
                <w:kern w:val="0"/>
                <w:sz w:val="22"/>
                <w:szCs w:val="22"/>
              </w:rPr>
            </w:pPr>
            <w:r>
              <w:rPr>
                <w:rFonts w:hint="eastAsia" w:ascii="宋体" w:hAnsi="宋体" w:cs="宋体"/>
                <w:color w:val="000000"/>
                <w:kern w:val="0"/>
                <w:sz w:val="22"/>
                <w:szCs w:val="22"/>
              </w:rPr>
              <w:t>定性</w:t>
            </w:r>
          </w:p>
        </w:tc>
        <w:tc>
          <w:tcPr>
            <w:tcW w:w="355" w:type="pct"/>
            <w:gridSpan w:val="2"/>
            <w:shd w:val="clear" w:color="auto" w:fill="auto"/>
            <w:vAlign w:val="center"/>
          </w:tcPr>
          <w:p w14:paraId="2DCDD4F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3" w:type="pct"/>
            <w:shd w:val="clear" w:color="auto" w:fill="auto"/>
            <w:vAlign w:val="center"/>
          </w:tcPr>
          <w:p w14:paraId="60351329">
            <w:pPr>
              <w:widowControl/>
              <w:jc w:val="center"/>
              <w:rPr>
                <w:rFonts w:ascii="宋体" w:hAnsi="宋体" w:cs="宋体"/>
                <w:color w:val="000000"/>
                <w:kern w:val="0"/>
                <w:sz w:val="22"/>
                <w:szCs w:val="22"/>
              </w:rPr>
            </w:pPr>
            <w:r>
              <w:rPr>
                <w:rFonts w:hint="eastAsia" w:ascii="宋体" w:hAnsi="宋体" w:cs="宋体"/>
                <w:color w:val="000000"/>
                <w:kern w:val="0"/>
                <w:sz w:val="22"/>
                <w:szCs w:val="22"/>
              </w:rPr>
              <w:t>做好消毒灭源防止造成环境污染情况</w:t>
            </w:r>
          </w:p>
        </w:tc>
        <w:tc>
          <w:tcPr>
            <w:tcW w:w="499" w:type="pct"/>
            <w:gridSpan w:val="2"/>
            <w:shd w:val="clear" w:color="auto" w:fill="auto"/>
            <w:vAlign w:val="center"/>
          </w:tcPr>
          <w:p w14:paraId="7DC6DD9D">
            <w:pPr>
              <w:widowControl/>
              <w:jc w:val="center"/>
              <w:rPr>
                <w:rFonts w:ascii="宋体" w:hAnsi="宋体" w:cs="宋体"/>
                <w:color w:val="000000"/>
                <w:kern w:val="0"/>
                <w:sz w:val="22"/>
                <w:szCs w:val="22"/>
              </w:rPr>
            </w:pPr>
            <w:r>
              <w:rPr>
                <w:rFonts w:hint="eastAsia" w:ascii="宋体" w:hAnsi="宋体" w:cs="宋体"/>
                <w:color w:val="000000"/>
                <w:kern w:val="0"/>
                <w:sz w:val="22"/>
                <w:szCs w:val="22"/>
              </w:rPr>
              <w:t>全部规范处置，未造成环境污染。</w:t>
            </w:r>
          </w:p>
        </w:tc>
        <w:tc>
          <w:tcPr>
            <w:tcW w:w="286" w:type="pct"/>
            <w:gridSpan w:val="2"/>
            <w:shd w:val="clear" w:color="auto" w:fill="auto"/>
            <w:vAlign w:val="center"/>
          </w:tcPr>
          <w:p w14:paraId="1A57BE3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4" w:type="pct"/>
            <w:shd w:val="clear" w:color="auto" w:fill="auto"/>
            <w:vAlign w:val="center"/>
          </w:tcPr>
          <w:p w14:paraId="2D4E570B">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86" w:type="pct"/>
            <w:shd w:val="clear" w:color="auto" w:fill="auto"/>
            <w:vAlign w:val="center"/>
          </w:tcPr>
          <w:p w14:paraId="0940D41B">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58" w:type="pct"/>
            <w:gridSpan w:val="2"/>
            <w:shd w:val="clear" w:color="auto" w:fill="auto"/>
            <w:vAlign w:val="center"/>
          </w:tcPr>
          <w:p w14:paraId="3C3B3DC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6F9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38B3254E">
            <w:pPr>
              <w:widowControl/>
              <w:jc w:val="left"/>
              <w:rPr>
                <w:rFonts w:ascii="宋体" w:hAnsi="宋体" w:cs="宋体"/>
                <w:color w:val="000000"/>
                <w:kern w:val="0"/>
                <w:sz w:val="22"/>
                <w:szCs w:val="22"/>
              </w:rPr>
            </w:pPr>
          </w:p>
        </w:tc>
        <w:tc>
          <w:tcPr>
            <w:tcW w:w="405" w:type="pct"/>
            <w:vMerge w:val="continue"/>
            <w:vAlign w:val="center"/>
          </w:tcPr>
          <w:p w14:paraId="761950B5">
            <w:pPr>
              <w:widowControl/>
              <w:jc w:val="left"/>
              <w:rPr>
                <w:rFonts w:ascii="宋体" w:hAnsi="宋体" w:cs="宋体"/>
                <w:color w:val="000000"/>
                <w:kern w:val="0"/>
                <w:sz w:val="22"/>
                <w:szCs w:val="22"/>
              </w:rPr>
            </w:pPr>
          </w:p>
        </w:tc>
        <w:tc>
          <w:tcPr>
            <w:tcW w:w="427" w:type="pct"/>
            <w:shd w:val="clear" w:color="auto" w:fill="auto"/>
            <w:vAlign w:val="center"/>
          </w:tcPr>
          <w:p w14:paraId="30FA63C7">
            <w:pPr>
              <w:widowControl/>
              <w:jc w:val="center"/>
              <w:rPr>
                <w:rFonts w:ascii="宋体" w:hAnsi="宋体" w:cs="宋体"/>
                <w:color w:val="000000"/>
                <w:kern w:val="0"/>
                <w:sz w:val="22"/>
                <w:szCs w:val="22"/>
              </w:rPr>
            </w:pPr>
            <w:r>
              <w:rPr>
                <w:rFonts w:hint="eastAsia" w:ascii="宋体" w:hAnsi="宋体" w:cs="宋体"/>
                <w:color w:val="000000"/>
                <w:kern w:val="0"/>
                <w:sz w:val="22"/>
                <w:szCs w:val="22"/>
              </w:rPr>
              <w:t>可持续影响</w:t>
            </w:r>
          </w:p>
        </w:tc>
        <w:tc>
          <w:tcPr>
            <w:tcW w:w="568" w:type="pct"/>
            <w:gridSpan w:val="3"/>
            <w:shd w:val="clear" w:color="auto" w:fill="auto"/>
            <w:vAlign w:val="center"/>
          </w:tcPr>
          <w:p w14:paraId="3DE6587F">
            <w:pPr>
              <w:widowControl/>
              <w:jc w:val="center"/>
              <w:rPr>
                <w:rFonts w:ascii="宋体" w:hAnsi="宋体" w:cs="宋体"/>
                <w:color w:val="000000"/>
                <w:kern w:val="0"/>
                <w:sz w:val="22"/>
                <w:szCs w:val="22"/>
              </w:rPr>
            </w:pPr>
            <w:r>
              <w:rPr>
                <w:rFonts w:hint="eastAsia" w:ascii="宋体" w:hAnsi="宋体" w:cs="宋体"/>
                <w:color w:val="000000"/>
                <w:kern w:val="0"/>
                <w:sz w:val="22"/>
                <w:szCs w:val="22"/>
              </w:rPr>
              <w:t>可持续的影响</w:t>
            </w:r>
          </w:p>
        </w:tc>
        <w:tc>
          <w:tcPr>
            <w:tcW w:w="426" w:type="pct"/>
            <w:shd w:val="clear" w:color="auto" w:fill="auto"/>
            <w:vAlign w:val="center"/>
          </w:tcPr>
          <w:p w14:paraId="3DF189CD">
            <w:pPr>
              <w:widowControl/>
              <w:jc w:val="center"/>
              <w:rPr>
                <w:rFonts w:ascii="宋体" w:hAnsi="宋体" w:cs="宋体"/>
                <w:color w:val="000000"/>
                <w:kern w:val="0"/>
                <w:sz w:val="22"/>
                <w:szCs w:val="22"/>
              </w:rPr>
            </w:pPr>
            <w:r>
              <w:rPr>
                <w:rFonts w:hint="eastAsia" w:ascii="宋体" w:hAnsi="宋体" w:cs="宋体"/>
                <w:color w:val="000000"/>
                <w:kern w:val="0"/>
                <w:sz w:val="22"/>
                <w:szCs w:val="22"/>
              </w:rPr>
              <w:t>正向</w:t>
            </w:r>
          </w:p>
        </w:tc>
        <w:tc>
          <w:tcPr>
            <w:tcW w:w="355" w:type="pct"/>
            <w:gridSpan w:val="2"/>
            <w:shd w:val="clear" w:color="auto" w:fill="auto"/>
            <w:vAlign w:val="center"/>
          </w:tcPr>
          <w:p w14:paraId="245F85A7">
            <w:pPr>
              <w:widowControl/>
              <w:jc w:val="center"/>
              <w:rPr>
                <w:rFonts w:ascii="宋体" w:hAnsi="宋体" w:cs="宋体"/>
                <w:color w:val="000000"/>
                <w:kern w:val="0"/>
                <w:sz w:val="22"/>
                <w:szCs w:val="22"/>
              </w:rPr>
            </w:pPr>
            <w:r>
              <w:rPr>
                <w:rFonts w:hint="eastAsia" w:ascii="宋体" w:hAnsi="宋体" w:cs="宋体"/>
                <w:color w:val="000000"/>
                <w:kern w:val="0"/>
                <w:sz w:val="22"/>
                <w:szCs w:val="22"/>
              </w:rPr>
              <w:t>等于</w:t>
            </w:r>
          </w:p>
        </w:tc>
        <w:tc>
          <w:tcPr>
            <w:tcW w:w="573" w:type="pct"/>
            <w:shd w:val="clear" w:color="auto" w:fill="auto"/>
            <w:vAlign w:val="center"/>
          </w:tcPr>
          <w:p w14:paraId="35FEBE48">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99" w:type="pct"/>
            <w:gridSpan w:val="2"/>
            <w:shd w:val="clear" w:color="auto" w:fill="auto"/>
            <w:vAlign w:val="center"/>
          </w:tcPr>
          <w:p w14:paraId="40BC34B0">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86" w:type="pct"/>
            <w:gridSpan w:val="2"/>
            <w:shd w:val="clear" w:color="auto" w:fill="auto"/>
            <w:vAlign w:val="center"/>
          </w:tcPr>
          <w:p w14:paraId="6CCE3981">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p>
        </w:tc>
        <w:tc>
          <w:tcPr>
            <w:tcW w:w="284" w:type="pct"/>
            <w:shd w:val="clear" w:color="auto" w:fill="auto"/>
            <w:vAlign w:val="center"/>
          </w:tcPr>
          <w:p w14:paraId="77F6CBB1">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6" w:type="pct"/>
            <w:shd w:val="clear" w:color="auto" w:fill="auto"/>
            <w:vAlign w:val="center"/>
          </w:tcPr>
          <w:p w14:paraId="3DA9EFD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58" w:type="pct"/>
            <w:gridSpan w:val="2"/>
            <w:shd w:val="clear" w:color="auto" w:fill="auto"/>
            <w:vAlign w:val="center"/>
          </w:tcPr>
          <w:p w14:paraId="70EE0B9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1F8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 w:type="pct"/>
            <w:vMerge w:val="continue"/>
            <w:vAlign w:val="center"/>
          </w:tcPr>
          <w:p w14:paraId="6574D8C8">
            <w:pPr>
              <w:widowControl/>
              <w:jc w:val="left"/>
              <w:rPr>
                <w:rFonts w:ascii="宋体" w:hAnsi="宋体" w:cs="宋体"/>
                <w:color w:val="000000"/>
                <w:kern w:val="0"/>
                <w:sz w:val="22"/>
                <w:szCs w:val="22"/>
              </w:rPr>
            </w:pPr>
          </w:p>
        </w:tc>
        <w:tc>
          <w:tcPr>
            <w:tcW w:w="405" w:type="pct"/>
            <w:shd w:val="clear" w:color="auto" w:fill="auto"/>
            <w:vAlign w:val="center"/>
          </w:tcPr>
          <w:p w14:paraId="1C2B687D">
            <w:pPr>
              <w:widowControl/>
              <w:jc w:val="center"/>
              <w:rPr>
                <w:rFonts w:ascii="宋体" w:hAnsi="宋体" w:cs="宋体"/>
                <w:color w:val="000000"/>
                <w:kern w:val="0"/>
                <w:sz w:val="22"/>
                <w:szCs w:val="22"/>
              </w:rPr>
            </w:pPr>
            <w:r>
              <w:rPr>
                <w:rFonts w:hint="eastAsia" w:ascii="宋体" w:hAnsi="宋体" w:cs="宋体"/>
                <w:color w:val="000000"/>
                <w:kern w:val="0"/>
                <w:sz w:val="22"/>
                <w:szCs w:val="22"/>
              </w:rPr>
              <w:t>满意度指标</w:t>
            </w:r>
          </w:p>
        </w:tc>
        <w:tc>
          <w:tcPr>
            <w:tcW w:w="427" w:type="pct"/>
            <w:shd w:val="clear" w:color="auto" w:fill="auto"/>
            <w:vAlign w:val="center"/>
          </w:tcPr>
          <w:p w14:paraId="4D33007F">
            <w:pPr>
              <w:widowControl/>
              <w:jc w:val="center"/>
              <w:rPr>
                <w:rFonts w:ascii="宋体" w:hAnsi="宋体" w:cs="宋体"/>
                <w:color w:val="000000"/>
                <w:kern w:val="0"/>
                <w:sz w:val="22"/>
                <w:szCs w:val="22"/>
              </w:rPr>
            </w:pPr>
            <w:r>
              <w:rPr>
                <w:rFonts w:hint="eastAsia" w:ascii="宋体" w:hAnsi="宋体" w:cs="宋体"/>
                <w:color w:val="000000"/>
                <w:kern w:val="0"/>
                <w:sz w:val="22"/>
                <w:szCs w:val="22"/>
              </w:rPr>
              <w:t>服务对象满意度</w:t>
            </w:r>
          </w:p>
        </w:tc>
        <w:tc>
          <w:tcPr>
            <w:tcW w:w="568" w:type="pct"/>
            <w:gridSpan w:val="3"/>
            <w:shd w:val="clear" w:color="auto" w:fill="auto"/>
            <w:vAlign w:val="center"/>
          </w:tcPr>
          <w:p w14:paraId="0B7BBEFD">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阳性畜所涉及养殖满意</w:t>
            </w:r>
          </w:p>
        </w:tc>
        <w:tc>
          <w:tcPr>
            <w:tcW w:w="426" w:type="pct"/>
            <w:shd w:val="clear" w:color="auto" w:fill="auto"/>
            <w:vAlign w:val="center"/>
          </w:tcPr>
          <w:p w14:paraId="0F407D5E">
            <w:pPr>
              <w:widowControl/>
              <w:jc w:val="center"/>
              <w:rPr>
                <w:rFonts w:ascii="宋体" w:hAnsi="宋体" w:cs="宋体"/>
                <w:color w:val="000000"/>
                <w:kern w:val="0"/>
                <w:sz w:val="22"/>
                <w:szCs w:val="22"/>
              </w:rPr>
            </w:pPr>
            <w:r>
              <w:rPr>
                <w:rFonts w:hint="eastAsia" w:ascii="宋体" w:hAnsi="宋体" w:cs="宋体"/>
                <w:color w:val="000000"/>
                <w:kern w:val="0"/>
                <w:sz w:val="22"/>
                <w:szCs w:val="22"/>
              </w:rPr>
              <w:t>正向</w:t>
            </w:r>
          </w:p>
        </w:tc>
        <w:tc>
          <w:tcPr>
            <w:tcW w:w="355" w:type="pct"/>
            <w:gridSpan w:val="2"/>
            <w:shd w:val="clear" w:color="auto" w:fill="auto"/>
            <w:vAlign w:val="center"/>
          </w:tcPr>
          <w:p w14:paraId="6A83BAB7">
            <w:pPr>
              <w:widowControl/>
              <w:jc w:val="center"/>
              <w:rPr>
                <w:rFonts w:ascii="宋体" w:hAnsi="宋体" w:cs="宋体"/>
                <w:color w:val="000000"/>
                <w:kern w:val="0"/>
                <w:sz w:val="22"/>
                <w:szCs w:val="22"/>
              </w:rPr>
            </w:pPr>
            <w:r>
              <w:rPr>
                <w:rFonts w:hint="eastAsia" w:ascii="宋体" w:hAnsi="宋体" w:cs="宋体"/>
                <w:color w:val="000000"/>
                <w:kern w:val="0"/>
                <w:sz w:val="22"/>
                <w:szCs w:val="22"/>
              </w:rPr>
              <w:t>大于等于</w:t>
            </w:r>
          </w:p>
        </w:tc>
        <w:tc>
          <w:tcPr>
            <w:tcW w:w="573" w:type="pct"/>
            <w:shd w:val="clear" w:color="auto" w:fill="auto"/>
            <w:vAlign w:val="center"/>
          </w:tcPr>
          <w:p w14:paraId="28D72C7E">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499" w:type="pct"/>
            <w:gridSpan w:val="2"/>
            <w:shd w:val="clear" w:color="auto" w:fill="auto"/>
            <w:vAlign w:val="center"/>
          </w:tcPr>
          <w:p w14:paraId="3212EAE3">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286" w:type="pct"/>
            <w:gridSpan w:val="2"/>
            <w:shd w:val="clear" w:color="auto" w:fill="auto"/>
            <w:vAlign w:val="center"/>
          </w:tcPr>
          <w:p w14:paraId="2E698251">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84" w:type="pct"/>
            <w:shd w:val="clear" w:color="auto" w:fill="auto"/>
            <w:vAlign w:val="center"/>
          </w:tcPr>
          <w:p w14:paraId="560DF39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86" w:type="pct"/>
            <w:shd w:val="clear" w:color="auto" w:fill="auto"/>
            <w:vAlign w:val="center"/>
          </w:tcPr>
          <w:p w14:paraId="615B4A3E">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58" w:type="pct"/>
            <w:gridSpan w:val="2"/>
            <w:shd w:val="clear" w:color="auto" w:fill="auto"/>
            <w:vAlign w:val="center"/>
          </w:tcPr>
          <w:p w14:paraId="4DAD10C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14A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972" w:type="pct"/>
            <w:gridSpan w:val="14"/>
            <w:shd w:val="clear" w:color="auto" w:fill="auto"/>
            <w:vAlign w:val="center"/>
          </w:tcPr>
          <w:p w14:paraId="3CF13AA4">
            <w:pPr>
              <w:widowControl/>
              <w:jc w:val="center"/>
              <w:rPr>
                <w:rFonts w:ascii="宋体" w:hAnsi="宋体" w:cs="宋体"/>
                <w:color w:val="000000"/>
                <w:kern w:val="0"/>
                <w:sz w:val="22"/>
                <w:szCs w:val="22"/>
              </w:rPr>
            </w:pPr>
            <w:r>
              <w:rPr>
                <w:rFonts w:hint="eastAsia" w:ascii="宋体" w:hAnsi="宋体" w:cs="宋体"/>
                <w:color w:val="000000"/>
                <w:kern w:val="0"/>
                <w:sz w:val="22"/>
                <w:szCs w:val="22"/>
              </w:rPr>
              <w:t>总分</w:t>
            </w:r>
          </w:p>
        </w:tc>
        <w:tc>
          <w:tcPr>
            <w:tcW w:w="284" w:type="pct"/>
            <w:shd w:val="clear" w:color="auto" w:fill="auto"/>
            <w:vAlign w:val="center"/>
          </w:tcPr>
          <w:p w14:paraId="284E3D0E">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286" w:type="pct"/>
            <w:shd w:val="clear" w:color="auto" w:fill="auto"/>
            <w:vAlign w:val="center"/>
          </w:tcPr>
          <w:p w14:paraId="4AAB2222">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58" w:type="pct"/>
            <w:gridSpan w:val="2"/>
            <w:shd w:val="clear" w:color="auto" w:fill="auto"/>
            <w:vAlign w:val="center"/>
          </w:tcPr>
          <w:p w14:paraId="23955E1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33B6F759">
      <w:pPr>
        <w:widowControl/>
        <w:spacing w:before="240" w:after="240"/>
        <w:jc w:val="left"/>
        <w:rPr>
          <w:rFonts w:eastAsia="Times New Roman"/>
          <w:kern w:val="0"/>
          <w:sz w:val="32"/>
          <w:szCs w:val="32"/>
        </w:rPr>
      </w:pPr>
      <w:r>
        <w:rPr>
          <w:rFonts w:ascii="kai_ti_gb2312" w:hAnsi="kai_ti_gb2312" w:eastAsia="kai_ti_gb2312" w:cs="kai_ti_gb2312"/>
          <w:b/>
          <w:bCs/>
          <w:kern w:val="0"/>
          <w:sz w:val="32"/>
          <w:szCs w:val="32"/>
        </w:rPr>
        <w:t>    （三）单位项目绩效评价结果。</w:t>
      </w:r>
    </w:p>
    <w:p w14:paraId="1ED5ABE4">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以“草原生态保护补助奖励盟级配套”项目为例，该项目绩效评价综合得分为</w:t>
      </w:r>
      <w:r>
        <w:rPr>
          <w:rFonts w:hint="eastAsia" w:ascii="仿宋" w:hAnsi="仿宋" w:eastAsia="仿宋" w:cs="仿宋"/>
          <w:kern w:val="0"/>
          <w:sz w:val="32"/>
          <w:szCs w:val="32"/>
          <w:u w:val="single"/>
        </w:rPr>
        <w:t>99.04</w:t>
      </w:r>
      <w:r>
        <w:rPr>
          <w:rFonts w:hint="eastAsia" w:ascii="仿宋" w:hAnsi="仿宋" w:eastAsia="仿宋" w:cs="仿宋"/>
          <w:kern w:val="0"/>
          <w:sz w:val="32"/>
          <w:szCs w:val="32"/>
        </w:rPr>
        <w:t>分，绩效评价结果为“优”。重点项目绩效评价得分情况详见单位具体绩效评价结果。</w:t>
      </w:r>
    </w:p>
    <w:p w14:paraId="17713EB0">
      <w:pPr>
        <w:widowControl/>
        <w:spacing w:before="240" w:after="240"/>
        <w:ind w:firstLine="321" w:firstLineChars="100"/>
        <w:jc w:val="left"/>
        <w:rPr>
          <w:rFonts w:eastAsia="fang_song_gb2312" w:cs="fang_song_gb2312"/>
          <w:b/>
          <w:kern w:val="0"/>
          <w:sz w:val="32"/>
          <w:szCs w:val="32"/>
        </w:rPr>
      </w:pPr>
      <w:r>
        <w:rPr>
          <w:rFonts w:hint="eastAsia" w:cs="fang_song_gb2312" w:eastAsiaTheme="minorEastAsia"/>
          <w:b/>
          <w:kern w:val="0"/>
          <w:sz w:val="32"/>
          <w:szCs w:val="32"/>
        </w:rPr>
        <w:t>1.</w:t>
      </w:r>
      <w:r>
        <w:rPr>
          <w:rFonts w:eastAsia="fang_song_gb2312" w:cs="fang_song_gb2312"/>
          <w:kern w:val="0"/>
          <w:sz w:val="32"/>
          <w:szCs w:val="32"/>
        </w:rPr>
        <w:t> </w:t>
      </w:r>
      <w:r>
        <w:rPr>
          <w:rFonts w:hint="eastAsia" w:hAnsi="fang_song_gb2312" w:eastAsia="fang_song_gb2312" w:cs="fang_song_gb2312"/>
          <w:b/>
          <w:kern w:val="0"/>
          <w:sz w:val="32"/>
          <w:szCs w:val="32"/>
        </w:rPr>
        <w:t>项目基本情况</w:t>
      </w:r>
    </w:p>
    <w:p w14:paraId="0B366690">
      <w:pPr>
        <w:widowControl/>
        <w:spacing w:before="240" w:after="240"/>
        <w:ind w:firstLine="640" w:firstLineChars="200"/>
        <w:jc w:val="left"/>
        <w:rPr>
          <w:rFonts w:hint="eastAsia" w:ascii="仿宋" w:hAnsi="仿宋" w:eastAsia="仿宋" w:cs="仿宋"/>
          <w:b/>
          <w:kern w:val="0"/>
          <w:sz w:val="32"/>
          <w:szCs w:val="32"/>
        </w:rPr>
      </w:pPr>
      <w:r>
        <w:rPr>
          <w:rFonts w:hint="eastAsia" w:ascii="仿宋" w:hAnsi="仿宋" w:eastAsia="仿宋" w:cs="仿宋"/>
          <w:kern w:val="0"/>
          <w:sz w:val="32"/>
          <w:szCs w:val="32"/>
        </w:rPr>
        <w:t>（1）项目基本情况简介。</w:t>
      </w:r>
    </w:p>
    <w:p w14:paraId="6C02EC65">
      <w:pPr>
        <w:widowControl/>
        <w:spacing w:before="240" w:after="24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实施第三轮草原生态保护补助奖励政策，对草原重要生态功能区补偿试点进行补贴，具体为：锡市锡林郭勒盟草原国家级自然保护区核心区试点87万亩；东乌旗乌拉盖湿地自治区级自然保护区核心区试点74万亩；乌拉盖贺斯格淖尔自治区级自然保护区核心区试点2.6万亩；正蓝旗扎格斯台重要水源涵养保护区试点33万亩。</w:t>
      </w:r>
    </w:p>
    <w:p w14:paraId="76FFA058">
      <w:pPr>
        <w:widowControl/>
        <w:spacing w:before="240" w:after="240"/>
        <w:ind w:firstLine="320" w:firstLineChars="100"/>
        <w:jc w:val="left"/>
        <w:rPr>
          <w:rFonts w:hint="eastAsia" w:ascii="仿宋" w:hAnsi="仿宋" w:eastAsia="仿宋" w:cs="仿宋"/>
          <w:kern w:val="0"/>
          <w:sz w:val="32"/>
          <w:szCs w:val="32"/>
        </w:rPr>
      </w:pPr>
      <w:r>
        <w:rPr>
          <w:rFonts w:hint="eastAsia" w:ascii="仿宋" w:hAnsi="仿宋" w:eastAsia="仿宋" w:cs="仿宋"/>
          <w:kern w:val="0"/>
          <w:sz w:val="32"/>
          <w:szCs w:val="32"/>
        </w:rPr>
        <w:t>（2）绩效目标设定及指标完成情况。</w:t>
      </w:r>
    </w:p>
    <w:p w14:paraId="2FAA2A3C">
      <w:pPr>
        <w:widowControl/>
        <w:spacing w:before="240" w:after="24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期目标：实施第三轮草原生态保护补助奖励政策，对草原重要生态功能区补偿试点进行补贴，具体为：锡市锡林郭勒盟草原国家级自然保护区核心区试点87万亩；东乌旗乌拉盖湿地自治区级自然保护区核心区试点74万亩；乌拉盖贺斯格淖尔自治区级自然保护区核心区试点2.6万亩；正蓝旗扎格斯台重要水源涵养保护区试点33万亩。</w:t>
      </w:r>
    </w:p>
    <w:p w14:paraId="01EB0A36">
      <w:pPr>
        <w:widowControl/>
        <w:spacing w:before="240" w:after="24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绩效目标实际完成情况：实施第三轮草原生态保护补助奖励政策，对草原重要生态功能区补偿试点进行补贴，具体为：锡市锡林郭勒盟草原国家级自然保护区核心区试点87万亩；东乌旗乌拉盖湿地自治区级自然保护区核心区试点74万亩；乌拉盖贺斯格淖尔自治区级自然保护区核心区试点2.6万亩；正蓝旗扎格斯台重要水源涵养保护区试点33万亩。于2022年6月30日下达至各旗县市（区）。已发放资金3262.35万元，发放率93.64%。</w:t>
      </w:r>
    </w:p>
    <w:p w14:paraId="305491F4">
      <w:pPr>
        <w:widowControl/>
        <w:spacing w:before="240" w:after="240"/>
        <w:ind w:firstLine="479" w:firstLineChars="149"/>
        <w:jc w:val="left"/>
        <w:rPr>
          <w:rFonts w:eastAsia="fang_song_gb2312" w:cs="fang_song_gb2312"/>
          <w:b/>
          <w:kern w:val="0"/>
          <w:sz w:val="32"/>
          <w:szCs w:val="32"/>
        </w:rPr>
      </w:pPr>
      <w:r>
        <w:rPr>
          <w:rFonts w:hint="eastAsia" w:hAnsi="fang_song_gb2312" w:cs="fang_song_gb2312" w:eastAsiaTheme="minorEastAsia"/>
          <w:b/>
          <w:kern w:val="0"/>
          <w:sz w:val="32"/>
          <w:szCs w:val="32"/>
        </w:rPr>
        <w:t>2.</w:t>
      </w:r>
      <w:r>
        <w:rPr>
          <w:rFonts w:hint="eastAsia" w:hAnsi="fang_song_gb2312" w:eastAsia="fang_song_gb2312" w:cs="fang_song_gb2312"/>
          <w:b/>
          <w:kern w:val="0"/>
          <w:sz w:val="32"/>
          <w:szCs w:val="32"/>
        </w:rPr>
        <w:t>绩效自评工作情况</w:t>
      </w:r>
    </w:p>
    <w:p w14:paraId="4539F07A">
      <w:pPr>
        <w:widowControl/>
        <w:spacing w:before="240" w:after="240"/>
        <w:ind w:firstLine="320" w:firstLineChars="100"/>
        <w:jc w:val="left"/>
        <w:rPr>
          <w:rFonts w:hint="eastAsia" w:ascii="仿宋" w:hAnsi="仿宋" w:eastAsia="仿宋" w:cs="仿宋"/>
          <w:kern w:val="0"/>
          <w:sz w:val="32"/>
          <w:szCs w:val="32"/>
        </w:rPr>
      </w:pPr>
      <w:r>
        <w:rPr>
          <w:rFonts w:hint="eastAsia" w:ascii="仿宋" w:hAnsi="仿宋" w:eastAsia="仿宋" w:cs="仿宋"/>
          <w:kern w:val="0"/>
          <w:sz w:val="32"/>
          <w:szCs w:val="32"/>
        </w:rPr>
        <w:t>（1）绩效自评目的。</w:t>
      </w:r>
    </w:p>
    <w:p w14:paraId="1EAE8C01">
      <w:pPr>
        <w:widowControl/>
        <w:spacing w:before="240" w:after="240"/>
        <w:ind w:firstLine="480" w:firstLineChars="150"/>
        <w:jc w:val="left"/>
        <w:rPr>
          <w:rFonts w:hint="eastAsia" w:ascii="仿宋" w:hAnsi="仿宋" w:eastAsia="仿宋" w:cs="仿宋"/>
          <w:kern w:val="0"/>
          <w:sz w:val="32"/>
          <w:szCs w:val="32"/>
        </w:rPr>
      </w:pPr>
      <w:r>
        <w:rPr>
          <w:rFonts w:hint="eastAsia" w:ascii="仿宋" w:hAnsi="仿宋" w:eastAsia="仿宋" w:cs="仿宋"/>
          <w:kern w:val="0"/>
          <w:sz w:val="32"/>
          <w:szCs w:val="32"/>
        </w:rPr>
        <w:t>通过实施草原补奖和相关政策，落实草原草畜平衡和禁牧、休牧制度，力争“十四五”期间，全盟草原平均植被盖度稳定在45%以上，草原生态环境持续好转，质量明显改善，草原生态战略地位进一步突出；农牧民保护草原的自觉意识进一步提高；引导农牧民科学利用天然草原，加快推进草牧业生产方式转变，促进畜牧业高质量发展。稳步提升农牧民收入水平；为实施乡村振兴战略、建设生态文明作出贡献，守护好祖国北部边境这道亮丽风景线。</w:t>
      </w:r>
    </w:p>
    <w:p w14:paraId="705F2B55">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（2）项目资金投入情况。</w:t>
      </w:r>
    </w:p>
    <w:p w14:paraId="50F1BD8A">
      <w:pPr>
        <w:widowControl/>
        <w:spacing w:before="240" w:after="240"/>
        <w:ind w:firstLine="320" w:firstLineChars="100"/>
        <w:jc w:val="left"/>
        <w:rPr>
          <w:rFonts w:hint="eastAsia" w:ascii="仿宋" w:hAnsi="仿宋" w:eastAsia="仿宋" w:cs="仿宋"/>
          <w:kern w:val="0"/>
          <w:sz w:val="32"/>
          <w:szCs w:val="32"/>
        </w:rPr>
      </w:pPr>
      <w:r>
        <w:rPr>
          <w:rFonts w:hint="eastAsia" w:ascii="仿宋" w:hAnsi="仿宋" w:eastAsia="仿宋" w:cs="仿宋"/>
          <w:kern w:val="0"/>
          <w:sz w:val="32"/>
          <w:szCs w:val="32"/>
        </w:rPr>
        <w:t>本年度资金年初预算数3483.90万元，其中：财政拨款3483.90万元，其他资金0.00万元。</w:t>
      </w:r>
    </w:p>
    <w:p w14:paraId="192F5571">
      <w:pPr>
        <w:widowControl/>
        <w:spacing w:before="240" w:after="240"/>
        <w:ind w:firstLine="480" w:firstLineChars="150"/>
        <w:jc w:val="left"/>
        <w:rPr>
          <w:rFonts w:hint="eastAsia" w:ascii="仿宋" w:hAnsi="仿宋" w:eastAsia="仿宋" w:cs="仿宋"/>
          <w:kern w:val="0"/>
          <w:sz w:val="32"/>
          <w:szCs w:val="32"/>
        </w:rPr>
      </w:pPr>
      <w:r>
        <w:rPr>
          <w:rFonts w:hint="eastAsia" w:ascii="仿宋" w:hAnsi="仿宋" w:eastAsia="仿宋" w:cs="仿宋"/>
          <w:kern w:val="0"/>
          <w:sz w:val="32"/>
          <w:szCs w:val="32"/>
        </w:rPr>
        <w:t>本年度资金全年预算数3483.90万元，其中：财政拨款3483.90万元，其他资金0.00万元。</w:t>
      </w:r>
    </w:p>
    <w:p w14:paraId="53618849">
      <w:pPr>
        <w:widowControl/>
        <w:spacing w:before="240" w:after="240"/>
        <w:ind w:firstLine="480" w:firstLineChars="150"/>
        <w:jc w:val="left"/>
        <w:rPr>
          <w:rFonts w:hint="eastAsia" w:ascii="仿宋" w:hAnsi="仿宋" w:eastAsia="仿宋" w:cs="仿宋"/>
          <w:kern w:val="0"/>
          <w:sz w:val="32"/>
          <w:szCs w:val="32"/>
        </w:rPr>
      </w:pPr>
      <w:r>
        <w:rPr>
          <w:rFonts w:hint="eastAsia" w:ascii="仿宋" w:hAnsi="仿宋" w:eastAsia="仿宋" w:cs="仿宋"/>
          <w:kern w:val="0"/>
          <w:sz w:val="32"/>
          <w:szCs w:val="32"/>
        </w:rPr>
        <w:t>本年度资金全年执行数3262.35万元，其中：财政拨款3262.35万元，其他资金0.00万元。</w:t>
      </w:r>
    </w:p>
    <w:p w14:paraId="31C94924">
      <w:pPr>
        <w:widowControl/>
        <w:spacing w:before="240" w:after="240"/>
        <w:ind w:firstLine="320" w:firstLineChars="100"/>
        <w:jc w:val="left"/>
        <w:rPr>
          <w:rFonts w:hint="eastAsia" w:ascii="仿宋" w:hAnsi="仿宋" w:eastAsia="仿宋" w:cs="仿宋"/>
          <w:kern w:val="0"/>
          <w:sz w:val="32"/>
          <w:szCs w:val="32"/>
        </w:rPr>
      </w:pPr>
      <w:r>
        <w:rPr>
          <w:rFonts w:hint="eastAsia" w:ascii="仿宋" w:hAnsi="仿宋" w:eastAsia="仿宋" w:cs="仿宋"/>
          <w:kern w:val="0"/>
          <w:sz w:val="32"/>
          <w:szCs w:val="32"/>
        </w:rPr>
        <w:t>（3）项目资金产出情况。</w:t>
      </w:r>
    </w:p>
    <w:p w14:paraId="151BD6A2">
      <w:pPr>
        <w:widowControl/>
        <w:spacing w:before="240" w:after="240"/>
        <w:ind w:firstLine="480" w:firstLineChars="150"/>
        <w:jc w:val="left"/>
        <w:rPr>
          <w:rFonts w:hint="eastAsia" w:ascii="仿宋" w:hAnsi="仿宋" w:eastAsia="仿宋" w:cs="仿宋"/>
          <w:kern w:val="0"/>
          <w:sz w:val="32"/>
          <w:szCs w:val="32"/>
        </w:rPr>
      </w:pPr>
      <w:r>
        <w:rPr>
          <w:rFonts w:hint="eastAsia" w:ascii="仿宋" w:hAnsi="仿宋" w:eastAsia="仿宋" w:cs="仿宋"/>
          <w:kern w:val="0"/>
          <w:sz w:val="32"/>
          <w:szCs w:val="32"/>
        </w:rPr>
        <w:t>第三轮现有草原重要生态功能区补偿点按原标准继续执行，具体为：锡市锡林郭勒草原国家级自然保护区核心区87万亩，50元/年、亩；东乌旗乌拉盖湿地自治区级自然保护区核心区73.78万亩，30元/年、亩；正蓝旗小扎格斯台重要水源涵养保护区32.5万亩，65元/年、亩，乌拉盖贺斯格淖尔自治区级自然保护区核心区2.6万亩，30元/年、亩。</w:t>
      </w:r>
      <w:r>
        <w:rPr>
          <w:rFonts w:hint="eastAsia" w:ascii="仿宋" w:hAnsi="仿宋" w:eastAsia="仿宋" w:cs="仿宋"/>
          <w:kern w:val="0"/>
          <w:sz w:val="32"/>
          <w:szCs w:val="32"/>
        </w:rPr>
        <w:cr/>
      </w:r>
    </w:p>
    <w:p w14:paraId="5A8D87B0">
      <w:pPr>
        <w:widowControl/>
        <w:spacing w:before="240" w:after="240"/>
        <w:ind w:firstLine="320" w:firstLineChars="100"/>
        <w:jc w:val="left"/>
        <w:rPr>
          <w:rFonts w:hint="eastAsia" w:ascii="仿宋" w:hAnsi="仿宋" w:eastAsia="仿宋" w:cs="仿宋"/>
          <w:kern w:val="0"/>
          <w:sz w:val="32"/>
          <w:szCs w:val="32"/>
        </w:rPr>
      </w:pPr>
      <w:r>
        <w:rPr>
          <w:rFonts w:hint="eastAsia" w:ascii="仿宋" w:hAnsi="仿宋" w:eastAsia="仿宋" w:cs="仿宋"/>
          <w:kern w:val="0"/>
          <w:sz w:val="32"/>
          <w:szCs w:val="32"/>
        </w:rPr>
        <w:t>（4）项目资金管理情况。</w:t>
      </w:r>
    </w:p>
    <w:p w14:paraId="7DFFA4A8">
      <w:pPr>
        <w:widowControl/>
        <w:spacing w:before="240" w:after="240"/>
        <w:ind w:firstLine="480" w:firstLineChars="150"/>
        <w:jc w:val="left"/>
        <w:rPr>
          <w:rFonts w:hint="eastAsia" w:ascii="仿宋" w:hAnsi="仿宋" w:eastAsia="仿宋" w:cs="仿宋"/>
          <w:kern w:val="0"/>
          <w:sz w:val="32"/>
          <w:szCs w:val="32"/>
        </w:rPr>
      </w:pPr>
      <w:r>
        <w:rPr>
          <w:rFonts w:hint="eastAsia" w:ascii="仿宋" w:hAnsi="仿宋" w:eastAsia="仿宋" w:cs="仿宋"/>
          <w:kern w:val="0"/>
          <w:sz w:val="32"/>
          <w:szCs w:val="32"/>
        </w:rPr>
        <w:t>加强组织领导。盟行署成立草原补奖政策工作领导小组，设立工作专班，完善工作机制，建立健全草原补奖政策和资金管理规章制度。各旗县市（区）、苏木乡镇（场）比照成立相应工作机构。各级领导小组研究制定有关方针政策，权利做好草原补奖政策和重大事宜的落实工作。进一步明确旗县市（区）、苏木乡镇（场）主体责任，确保落实到位。</w:t>
      </w:r>
    </w:p>
    <w:p w14:paraId="2502AC5D">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eastAsia="fang_song_gb2312" w:cs="fang_song_gb2312"/>
          <w:b/>
          <w:kern w:val="0"/>
          <w:sz w:val="32"/>
          <w:szCs w:val="32"/>
        </w:rPr>
      </w:pPr>
      <w:r>
        <w:rPr>
          <w:rFonts w:hint="eastAsia" w:cs="fang_song_gb2312" w:eastAsiaTheme="minorEastAsia"/>
          <w:b/>
          <w:kern w:val="0"/>
          <w:sz w:val="32"/>
          <w:szCs w:val="32"/>
        </w:rPr>
        <w:t>3.</w:t>
      </w:r>
      <w:r>
        <w:rPr>
          <w:rFonts w:hint="eastAsia" w:hAnsi="fang_song_gb2312" w:eastAsia="fang_song_gb2312" w:cs="fang_song_gb2312"/>
          <w:b/>
          <w:kern w:val="0"/>
          <w:sz w:val="32"/>
          <w:szCs w:val="32"/>
        </w:rPr>
        <w:t>项目绩效情况</w:t>
      </w:r>
    </w:p>
    <w:p w14:paraId="49D58DC2">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 产出指标完成情况</w:t>
      </w:r>
    </w:p>
    <w:p w14:paraId="76ACDF5E">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①数量指标</w:t>
      </w:r>
    </w:p>
    <w:p w14:paraId="71C8490C">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1)补贴亩数，目标值等于195.88万亩，实际完成195.88万亩，分值7.5，得分7.5。</w:t>
      </w:r>
    </w:p>
    <w:p w14:paraId="1F775360">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2)补贴涉及旗县数，目标值等于4个，实际完成4个，分值7.5，得分7.5。</w:t>
      </w:r>
    </w:p>
    <w:p w14:paraId="4B5EB357">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②质量指标</w:t>
      </w:r>
    </w:p>
    <w:p w14:paraId="4010B100">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3)资金发放率，目标值等于100%，实际完成100%，分值7.5，得分7.5。</w:t>
      </w:r>
    </w:p>
    <w:p w14:paraId="59D23D58">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4)项目完成率，目标值大于等于90%，实际完成90%，分值7.5，得分7.5。</w:t>
      </w:r>
    </w:p>
    <w:p w14:paraId="7803DEF9">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③时效指标</w:t>
      </w:r>
    </w:p>
    <w:p w14:paraId="6EAD26A1">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5)完成时限，目标值2023.01-2023.12，实际完成2023.01-2023.12，分值5，得分5。</w:t>
      </w:r>
    </w:p>
    <w:p w14:paraId="3D9C4A5E">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6)草原生态保护补助奖励发放及时率，目标值等于90%，实际完成90%，分值5，得分5。</w:t>
      </w:r>
    </w:p>
    <w:p w14:paraId="04222CE9">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④成本指标</w:t>
      </w:r>
    </w:p>
    <w:p w14:paraId="5208464F">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7)补贴金额，目标值等于3483.9万元，实际完成3262.35万元，分值5，得分4.68。</w:t>
      </w:r>
    </w:p>
    <w:p w14:paraId="473013A6">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8)预算完成率，目标值等于90%，实际完成93.64%，分值5，得分5。</w:t>
      </w:r>
    </w:p>
    <w:p w14:paraId="1201B189">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 效益指标完成情况</w:t>
      </w:r>
    </w:p>
    <w:p w14:paraId="470697CF">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⑤经济效益</w:t>
      </w:r>
    </w:p>
    <w:p w14:paraId="40A9ACFB">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9)对农牧民收入的影响，目标值提高农牧民收益，实际完成提高农牧民收益，分值7.5，得分7.5。</w:t>
      </w:r>
    </w:p>
    <w:p w14:paraId="6A49EE48">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⑥社会效益</w:t>
      </w:r>
    </w:p>
    <w:p w14:paraId="15B4D217">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10)通过实施草原奖补和相关政策，目标值促进草原休养生息、加快草原生态恢复，实际完成促进草原休养生息、加快草原生态恢复，分值7.5，得分7.5。</w:t>
      </w:r>
    </w:p>
    <w:p w14:paraId="6A0ED01F">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⑦生态效益</w:t>
      </w:r>
    </w:p>
    <w:p w14:paraId="2B00C179">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11)农牧民保护草场的意识，目标值进一步提高，实际完成进一步提高，分值7.5，得分7.5。</w:t>
      </w:r>
    </w:p>
    <w:p w14:paraId="49AD4C3B">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⑧可持续影响</w:t>
      </w:r>
    </w:p>
    <w:p w14:paraId="4F1510F3">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12)草原生态功能区持续影响指标，目标值大于等于1年，实际完成1年，分值7.5，得分7.5。</w:t>
      </w:r>
    </w:p>
    <w:p w14:paraId="250A72C0">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 满意度指标完成情况</w:t>
      </w:r>
    </w:p>
    <w:p w14:paraId="46410A0B">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⑨服务对象满意度</w:t>
      </w:r>
    </w:p>
    <w:p w14:paraId="02C4A1ED">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13)农牧民满意度，目标值大于等于85%，实际完成85%，分值10，得分10。</w:t>
      </w:r>
    </w:p>
    <w:p w14:paraId="7C545F83">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（4）自评得分情况</w:t>
      </w:r>
    </w:p>
    <w:p w14:paraId="63894A64">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本项目绩效自评得分99.04分，等级为A。</w:t>
      </w:r>
    </w:p>
    <w:p w14:paraId="7243B56A">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eastAsia="fang_song_gb2312" w:cs="fang_song_gb2312"/>
          <w:b/>
          <w:kern w:val="0"/>
          <w:sz w:val="32"/>
          <w:szCs w:val="32"/>
        </w:rPr>
      </w:pPr>
      <w:r>
        <w:rPr>
          <w:rFonts w:hint="eastAsia" w:hAnsi="fang_song_gb2312" w:cs="fang_song_gb2312" w:eastAsiaTheme="minorEastAsia"/>
          <w:b/>
          <w:kern w:val="0"/>
          <w:sz w:val="32"/>
          <w:szCs w:val="32"/>
        </w:rPr>
        <w:t>4.</w:t>
      </w:r>
      <w:r>
        <w:rPr>
          <w:rFonts w:hint="eastAsia" w:hAnsi="fang_song_gb2312" w:eastAsia="fang_song_gb2312" w:cs="fang_song_gb2312"/>
          <w:b/>
          <w:kern w:val="0"/>
          <w:sz w:val="32"/>
          <w:szCs w:val="32"/>
        </w:rPr>
        <w:t>存在问题</w:t>
      </w:r>
    </w:p>
    <w:p w14:paraId="4468E696">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（1）项目立项、实施存在问题。无。</w:t>
      </w:r>
    </w:p>
    <w:p w14:paraId="7830926D">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（2）资金管理使用存在问题。无。</w:t>
      </w:r>
    </w:p>
    <w:p w14:paraId="44781180">
      <w:pPr>
        <w:keepNext w:val="0"/>
        <w:keepLines w:val="0"/>
        <w:pageBreakBefore w:val="0"/>
        <w:widowControl/>
        <w:kinsoku/>
        <w:wordWrap/>
        <w:overflowPunct/>
        <w:topLinePunct w:val="0"/>
        <w:autoSpaceDE/>
        <w:autoSpaceDN/>
        <w:bidi w:val="0"/>
        <w:adjustRightInd/>
        <w:snapToGrid/>
        <w:spacing w:before="240" w:after="240"/>
        <w:ind w:firstLine="643" w:firstLineChars="200"/>
        <w:jc w:val="left"/>
        <w:textAlignment w:val="auto"/>
        <w:rPr>
          <w:rFonts w:eastAsia="fang_song_gb2312" w:cs="fang_song_gb2312"/>
          <w:b/>
          <w:kern w:val="0"/>
          <w:sz w:val="32"/>
          <w:szCs w:val="32"/>
        </w:rPr>
      </w:pPr>
      <w:r>
        <w:rPr>
          <w:rFonts w:hint="eastAsia" w:hAnsi="fang_song_gb2312" w:cs="fang_song_gb2312" w:eastAsiaTheme="minorEastAsia"/>
          <w:b/>
          <w:kern w:val="0"/>
          <w:sz w:val="32"/>
          <w:szCs w:val="32"/>
        </w:rPr>
        <w:t>5.</w:t>
      </w:r>
      <w:r>
        <w:rPr>
          <w:rFonts w:hint="eastAsia" w:hAnsi="fang_song_gb2312" w:eastAsia="fang_song_gb2312" w:cs="fang_song_gb2312"/>
          <w:b/>
          <w:kern w:val="0"/>
          <w:sz w:val="32"/>
          <w:szCs w:val="32"/>
        </w:rPr>
        <w:t>其他需要说明的问题</w:t>
      </w:r>
    </w:p>
    <w:p w14:paraId="2801B464">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（1）后续工作计划。</w:t>
      </w:r>
    </w:p>
    <w:p w14:paraId="5414BB5A">
      <w:pPr>
        <w:widowControl/>
        <w:spacing w:before="240" w:after="24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坚持生态优先绿色发展。坚持“生态优先、生产生态有机结合”的基本方针，推进草原各项保护制度落实，保护和恢复草原生态环境，夯实牧区经济社会可持续发展基础。坚持政策稳定，稳步推进。支持政策目标稳定，享受人群基本稳定，政策支持力度不减，补助奖励标准不降，配套资金不断档。进一步健全完善预算管理、绩效管理制度，切实强化整体绩效推进力度。根据自评结果明细中存在的不足，进一步提高成本预算准确性、预算执行的有效性；优化后续项目和以后年度预算支出方向，合理安排资金支出。</w:t>
      </w:r>
      <w:r>
        <w:rPr>
          <w:rFonts w:hint="eastAsia" w:ascii="仿宋" w:hAnsi="仿宋" w:eastAsia="仿宋" w:cs="仿宋"/>
          <w:kern w:val="0"/>
          <w:sz w:val="32"/>
          <w:szCs w:val="32"/>
        </w:rPr>
        <w:cr/>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（2）措施及办法</w:t>
      </w:r>
    </w:p>
    <w:p w14:paraId="7678069E">
      <w:pPr>
        <w:widowControl/>
        <w:spacing w:before="240" w:after="240"/>
        <w:ind w:firstLine="640" w:firstLineChars="200"/>
        <w:jc w:val="left"/>
        <w:rPr>
          <w:rFonts w:hint="eastAsia" w:ascii="仿宋" w:hAnsi="仿宋" w:eastAsia="仿宋" w:cs="仿宋"/>
          <w:color w:val="0E00FE"/>
          <w:kern w:val="0"/>
          <w:sz w:val="32"/>
          <w:szCs w:val="32"/>
        </w:rPr>
      </w:pPr>
      <w:r>
        <w:rPr>
          <w:rFonts w:hint="eastAsia" w:ascii="仿宋" w:hAnsi="仿宋" w:eastAsia="仿宋" w:cs="仿宋"/>
          <w:kern w:val="0"/>
          <w:sz w:val="32"/>
          <w:szCs w:val="32"/>
        </w:rPr>
        <w:t>推进预算执行管理，加强业务指导和监督检查，及时督促项目进度，协调解决实施中的难点和问题，增强资金使用效益。</w:t>
      </w:r>
    </w:p>
    <w:p w14:paraId="3741BA10">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67E60BC6">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b/>
          <w:bCs/>
          <w:kern w:val="0"/>
          <w:sz w:val="27"/>
          <w:szCs w:val="27"/>
        </w:rPr>
        <w:t>   </w:t>
      </w:r>
      <w:r>
        <w:rPr>
          <w:rFonts w:hint="eastAsia" w:ascii="仿宋" w:hAnsi="仿宋" w:eastAsia="仿宋" w:cs="仿宋"/>
          <w:b/>
          <w:bCs/>
          <w:kern w:val="0"/>
          <w:sz w:val="32"/>
          <w:szCs w:val="32"/>
        </w:rPr>
        <w:t xml:space="preserve"> 一、财政拨款收入：</w:t>
      </w:r>
      <w:r>
        <w:rPr>
          <w:rFonts w:hint="eastAsia" w:ascii="仿宋" w:hAnsi="仿宋" w:eastAsia="仿宋" w:cs="仿宋"/>
          <w:kern w:val="0"/>
          <w:sz w:val="32"/>
          <w:szCs w:val="32"/>
        </w:rPr>
        <w:t>从同级财政部门取得的各类财政拨款，包括一般公共预算财政拨款、政府性基金预算财政拨款、国有资本经营预算财政拨款。</w:t>
      </w:r>
    </w:p>
    <w:p w14:paraId="7FCFAAEE">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二、上级补助收入：</w:t>
      </w:r>
      <w:r>
        <w:rPr>
          <w:rFonts w:hint="eastAsia" w:ascii="仿宋" w:hAnsi="仿宋" w:eastAsia="仿宋" w:cs="仿宋"/>
          <w:kern w:val="0"/>
          <w:sz w:val="32"/>
          <w:szCs w:val="32"/>
        </w:rPr>
        <w:t>指事业单位从主管部门和上级单位取得的非财政补助收入。</w:t>
      </w:r>
    </w:p>
    <w:p w14:paraId="3EC0ADF2">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三、财政专户管理教育收费：</w:t>
      </w:r>
      <w:r>
        <w:rPr>
          <w:rFonts w:hint="eastAsia" w:ascii="仿宋" w:hAnsi="仿宋" w:eastAsia="仿宋" w:cs="仿宋"/>
          <w:kern w:val="0"/>
          <w:sz w:val="32"/>
          <w:szCs w:val="32"/>
        </w:rPr>
        <w:t>指缴入财政专户、实行专项管理的高中以上学费、住宿费、高校委托培养费、函大、电大、夜大及短训班培训费等教育收费。</w:t>
      </w:r>
    </w:p>
    <w:p w14:paraId="3EBF5E99">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四、事业收入：</w:t>
      </w:r>
      <w:r>
        <w:rPr>
          <w:rFonts w:hint="eastAsia" w:ascii="仿宋" w:hAnsi="仿宋" w:eastAsia="仿宋" w:cs="仿宋"/>
          <w:kern w:val="0"/>
          <w:sz w:val="32"/>
          <w:szCs w:val="32"/>
        </w:rPr>
        <w:t>指事业单位开展专业业务活动及其辅助活动取得的收入。</w:t>
      </w:r>
    </w:p>
    <w:p w14:paraId="4F47BDEF">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五、经营收入：</w:t>
      </w:r>
      <w:r>
        <w:rPr>
          <w:rFonts w:hint="eastAsia" w:ascii="仿宋" w:hAnsi="仿宋" w:eastAsia="仿宋" w:cs="仿宋"/>
          <w:kern w:val="0"/>
          <w:sz w:val="32"/>
          <w:szCs w:val="32"/>
        </w:rPr>
        <w:t>指事业单位在专业业务活动及其辅助活动之外开展非独立核算经营活动取得的收入。</w:t>
      </w:r>
    </w:p>
    <w:p w14:paraId="471C7827">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六、附属单位上缴收入：</w:t>
      </w:r>
      <w:r>
        <w:rPr>
          <w:rFonts w:hint="eastAsia" w:ascii="仿宋" w:hAnsi="仿宋" w:eastAsia="仿宋" w:cs="仿宋"/>
          <w:kern w:val="0"/>
          <w:sz w:val="32"/>
          <w:szCs w:val="32"/>
        </w:rPr>
        <w:t>指事业单位取得附属独立核算单位按照有关规定上缴的收入。</w:t>
      </w:r>
    </w:p>
    <w:p w14:paraId="7423F519">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七、其他收入：</w:t>
      </w:r>
      <w:r>
        <w:rPr>
          <w:rFonts w:hint="eastAsia" w:ascii="仿宋" w:hAnsi="仿宋" w:eastAsia="仿宋" w:cs="仿宋"/>
          <w:kern w:val="0"/>
          <w:sz w:val="32"/>
          <w:szCs w:val="32"/>
        </w:rPr>
        <w:t>取得的除上述“财政拨款收入”、“上级补助收入”、“事业收入”、“经营收入”、“附属单位上缴收入”等以外的各项收入。</w:t>
      </w:r>
    </w:p>
    <w:p w14:paraId="188553FE">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八、使用非财政拨款结余和专用结余：</w:t>
      </w:r>
      <w:r>
        <w:rPr>
          <w:rFonts w:hint="eastAsia" w:ascii="仿宋" w:hAnsi="仿宋" w:eastAsia="仿宋" w:cs="仿宋"/>
          <w:kern w:val="0"/>
          <w:sz w:val="32"/>
          <w:szCs w:val="32"/>
        </w:rPr>
        <w:t>指事业单位按照预算管理要求使用非财政拨款结余和专用结余弥补当年收支差额的数额。</w:t>
      </w:r>
    </w:p>
    <w:p w14:paraId="42D44F0D">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九、年初结转和结余：</w:t>
      </w:r>
      <w:r>
        <w:rPr>
          <w:rFonts w:hint="eastAsia" w:ascii="仿宋" w:hAnsi="仿宋" w:eastAsia="仿宋" w:cs="仿宋"/>
          <w:kern w:val="0"/>
          <w:sz w:val="32"/>
          <w:szCs w:val="32"/>
        </w:rPr>
        <w:t>指单位上年结转本年使用的基本支出结转、项目支出结转和结余、经营结余。</w:t>
      </w:r>
    </w:p>
    <w:p w14:paraId="76F37580">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十、结余分配：</w:t>
      </w:r>
      <w:r>
        <w:rPr>
          <w:rFonts w:hint="eastAsia" w:ascii="仿宋" w:hAnsi="仿宋" w:eastAsia="仿宋" w:cs="仿宋"/>
          <w:kern w:val="0"/>
          <w:sz w:val="32"/>
          <w:szCs w:val="32"/>
        </w:rPr>
        <w:t>指事业单位按规定缴纳企业所得税以及从非财政拨款结余或经营结余中提取各类结余的情况。</w:t>
      </w:r>
    </w:p>
    <w:p w14:paraId="7D60EC75">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十一、年末结转和结余资金：</w:t>
      </w:r>
      <w:r>
        <w:rPr>
          <w:rFonts w:hint="eastAsia" w:ascii="仿宋" w:hAnsi="仿宋" w:eastAsia="仿宋" w:cs="仿宋"/>
          <w:kern w:val="0"/>
          <w:sz w:val="32"/>
          <w:szCs w:val="32"/>
        </w:rPr>
        <w:t>指单位结转下年的基本支出结转、项目支出结转和结余、经营结余。</w:t>
      </w:r>
    </w:p>
    <w:p w14:paraId="4D1ADF4F">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十二、基本支出：</w:t>
      </w:r>
      <w:r>
        <w:rPr>
          <w:rFonts w:hint="eastAsia" w:ascii="仿宋" w:hAnsi="仿宋" w:eastAsia="仿宋" w:cs="仿宋"/>
          <w:kern w:val="0"/>
          <w:sz w:val="32"/>
          <w:szCs w:val="32"/>
        </w:rPr>
        <w:t>指为保障机构正常运转、完成日常工作任务所发生的支出，包括人员经费和公用经费。</w:t>
      </w:r>
    </w:p>
    <w:p w14:paraId="21FB1F85">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十三、项目支出：</w:t>
      </w:r>
      <w:r>
        <w:rPr>
          <w:rFonts w:hint="eastAsia" w:ascii="仿宋" w:hAnsi="仿宋" w:eastAsia="仿宋" w:cs="仿宋"/>
          <w:kern w:val="0"/>
          <w:sz w:val="32"/>
          <w:szCs w:val="32"/>
        </w:rPr>
        <w:t>指在为完成特定的工作任务和事业发展目标所发生的支出。</w:t>
      </w:r>
    </w:p>
    <w:p w14:paraId="6159E51F">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十四、上缴上级支出：</w:t>
      </w:r>
      <w:r>
        <w:rPr>
          <w:rFonts w:hint="eastAsia" w:ascii="仿宋" w:hAnsi="仿宋" w:eastAsia="仿宋" w:cs="仿宋"/>
          <w:kern w:val="0"/>
          <w:sz w:val="32"/>
          <w:szCs w:val="32"/>
        </w:rPr>
        <w:t>指事业单位按照财政部门和主管部门的规定上缴上级单位的支出。</w:t>
      </w:r>
    </w:p>
    <w:p w14:paraId="2C82DF29">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十五、经营支出：</w:t>
      </w:r>
      <w:r>
        <w:rPr>
          <w:rFonts w:hint="eastAsia" w:ascii="仿宋" w:hAnsi="仿宋" w:eastAsia="仿宋" w:cs="仿宋"/>
          <w:kern w:val="0"/>
          <w:sz w:val="32"/>
          <w:szCs w:val="32"/>
        </w:rPr>
        <w:t>指事业单位在专业业务活动及其辅助活动之外开展非独立核算经营活动发生的支出。</w:t>
      </w:r>
    </w:p>
    <w:p w14:paraId="21145610">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十六、对附属单位补助支出：</w:t>
      </w:r>
      <w:r>
        <w:rPr>
          <w:rFonts w:hint="eastAsia" w:ascii="仿宋" w:hAnsi="仿宋" w:eastAsia="仿宋" w:cs="仿宋"/>
          <w:kern w:val="0"/>
          <w:sz w:val="32"/>
          <w:szCs w:val="32"/>
        </w:rPr>
        <w:t>指事业单位用财政拨款收入之外的收入对附属单位补助发生的支出。</w:t>
      </w:r>
    </w:p>
    <w:p w14:paraId="23D97E7C">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十七、“三公”经费：</w:t>
      </w:r>
      <w:r>
        <w:rPr>
          <w:rFonts w:hint="eastAsia" w:ascii="仿宋" w:hAnsi="仿宋" w:eastAsia="仿宋" w:cs="仿宋"/>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0200E645">
      <w:pPr>
        <w:widowControl/>
        <w:spacing w:before="240" w:after="240"/>
        <w:jc w:val="left"/>
        <w:rPr>
          <w:rFonts w:hint="eastAsia" w:ascii="仿宋" w:hAnsi="仿宋" w:eastAsia="仿宋" w:cs="仿宋"/>
          <w:kern w:val="0"/>
          <w:sz w:val="32"/>
          <w:szCs w:val="32"/>
        </w:rPr>
      </w:pPr>
      <w:r>
        <w:rPr>
          <w:rFonts w:hint="eastAsia" w:ascii="仿宋" w:hAnsi="仿宋" w:eastAsia="仿宋" w:cs="仿宋"/>
          <w:b/>
          <w:bCs/>
          <w:kern w:val="0"/>
          <w:sz w:val="32"/>
          <w:szCs w:val="32"/>
        </w:rPr>
        <w:t>    十八、机构运行经费：</w:t>
      </w:r>
      <w:r>
        <w:rPr>
          <w:rFonts w:hint="eastAsia" w:ascii="仿宋" w:hAnsi="仿宋" w:eastAsia="仿宋" w:cs="仿宋"/>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58FFF10B">
      <w:pPr>
        <w:widowControl/>
        <w:spacing w:before="240" w:after="240"/>
        <w:jc w:val="left"/>
        <w:rPr>
          <w:rFonts w:eastAsia="Times New Roman"/>
          <w:kern w:val="0"/>
          <w:sz w:val="24"/>
        </w:rPr>
      </w:pPr>
      <w:r>
        <w:rPr>
          <w:rFonts w:ascii="fang_song_gb2312" w:hAnsi="fang_song_gb2312" w:eastAsia="fang_song_gb2312" w:cs="fang_song_gb2312"/>
          <w:color w:val="0E00FE"/>
          <w:kern w:val="0"/>
          <w:sz w:val="27"/>
          <w:szCs w:val="27"/>
        </w:rPr>
        <w:t>   </w:t>
      </w:r>
    </w:p>
    <w:p w14:paraId="7C1B28E9">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2EE85934">
      <w:pPr>
        <w:widowControl/>
        <w:spacing w:before="240" w:after="240"/>
        <w:jc w:val="left"/>
        <w:rPr>
          <w:rFonts w:eastAsia="Times New Roman"/>
          <w:kern w:val="0"/>
          <w:sz w:val="24"/>
        </w:rPr>
      </w:pPr>
    </w:p>
    <w:p w14:paraId="6AC4283D">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    本单位决算公开信息反馈和联系方式：</w:t>
      </w:r>
    </w:p>
    <w:p w14:paraId="18C2DE21">
      <w:pPr>
        <w:widowControl/>
        <w:spacing w:before="240" w:after="240"/>
        <w:jc w:val="left"/>
        <w:rPr>
          <w:rFonts w:hint="eastAsia" w:ascii="仿宋" w:hAnsi="仿宋" w:eastAsia="仿宋" w:cs="仿宋"/>
          <w:kern w:val="0"/>
          <w:sz w:val="32"/>
          <w:szCs w:val="32"/>
        </w:rPr>
      </w:pPr>
      <w:r>
        <w:rPr>
          <w:rFonts w:hint="eastAsia" w:ascii="仿宋" w:hAnsi="仿宋" w:eastAsia="仿宋" w:cs="仿宋"/>
          <w:kern w:val="0"/>
          <w:sz w:val="32"/>
          <w:szCs w:val="32"/>
        </w:rPr>
        <w:t>    联系人：</w:t>
      </w:r>
      <w:r>
        <w:rPr>
          <w:rFonts w:hint="eastAsia" w:ascii="仿宋" w:hAnsi="仿宋" w:eastAsia="仿宋" w:cs="仿宋"/>
          <w:kern w:val="0"/>
          <w:sz w:val="32"/>
          <w:szCs w:val="32"/>
          <w:u w:val="single"/>
        </w:rPr>
        <w:t xml:space="preserve">巴乙苏拉 </w:t>
      </w:r>
      <w:r>
        <w:rPr>
          <w:rFonts w:hint="eastAsia" w:ascii="仿宋" w:hAnsi="仿宋" w:eastAsia="仿宋" w:cs="仿宋"/>
          <w:kern w:val="0"/>
          <w:sz w:val="32"/>
          <w:szCs w:val="32"/>
        </w:rPr>
        <w:t>          联系电话：0479-8214477</w:t>
      </w:r>
    </w:p>
    <w:p w14:paraId="3A6E78CD">
      <w:pPr>
        <w:widowControl/>
        <w:spacing w:before="240" w:after="240"/>
        <w:jc w:val="left"/>
        <w:rPr>
          <w:rFonts w:eastAsia="Times New Roman"/>
          <w:kern w:val="0"/>
          <w:sz w:val="24"/>
        </w:rPr>
      </w:pPr>
    </w:p>
    <w:p w14:paraId="48F4D7D3">
      <w:pPr>
        <w:widowControl/>
        <w:spacing w:before="240" w:after="240"/>
        <w:jc w:val="center"/>
        <w:rPr>
          <w:rFonts w:eastAsia="Times New Roman"/>
          <w:kern w:val="0"/>
          <w:sz w:val="24"/>
        </w:rPr>
      </w:pPr>
      <w:r>
        <w:rPr>
          <w:rFonts w:ascii="fang_zheng_xiao_biao_song_ti" w:hAnsi="fang_zheng_xiao_biao_song_ti" w:eastAsia="fang_zheng_xiao_biao_song_ti" w:cs="fang_zheng_xiao_biao_song_ti"/>
          <w:b/>
          <w:bCs/>
          <w:kern w:val="0"/>
          <w:sz w:val="36"/>
          <w:szCs w:val="36"/>
        </w:rPr>
        <w:t>第五部分 单位决算表</w:t>
      </w:r>
    </w:p>
    <w:p w14:paraId="4EA86A7A">
      <w:pPr>
        <w:widowControl/>
        <w:spacing w:before="240" w:after="240"/>
        <w:jc w:val="center"/>
        <w:rPr>
          <w:rFonts w:eastAsia="Times New Roman"/>
          <w:kern w:val="0"/>
          <w:sz w:val="24"/>
        </w:rPr>
      </w:pPr>
    </w:p>
    <w:p w14:paraId="6A44C61A">
      <w:pPr>
        <w:widowControl/>
        <w:spacing w:before="240" w:after="240"/>
        <w:jc w:val="left"/>
        <w:rPr>
          <w:rFonts w:hint="eastAsia" w:ascii="仿宋" w:hAnsi="仿宋" w:eastAsia="仿宋" w:cs="仿宋"/>
          <w:kern w:val="0"/>
          <w:sz w:val="32"/>
          <w:szCs w:val="32"/>
        </w:rPr>
      </w:pPr>
      <w:r>
        <w:rPr>
          <w:rFonts w:ascii="fang_song_gb2312" w:hAnsi="fang_song_gb2312" w:eastAsia="fang_song_gb2312" w:cs="fang_song_gb2312"/>
          <w:kern w:val="0"/>
          <w:sz w:val="27"/>
          <w:szCs w:val="27"/>
        </w:rPr>
        <w:t xml:space="preserve">  </w:t>
      </w:r>
      <w:r>
        <w:rPr>
          <w:rFonts w:hint="eastAsia" w:ascii="仿宋" w:hAnsi="仿宋" w:eastAsia="仿宋" w:cs="仿宋"/>
          <w:kern w:val="0"/>
          <w:sz w:val="32"/>
          <w:szCs w:val="32"/>
        </w:rPr>
        <w:t>  见附件。1</w:t>
      </w:r>
    </w:p>
    <w:p w14:paraId="5BFC10EE">
      <w:pPr>
        <w:widowControl/>
        <w:spacing w:before="240" w:after="240"/>
        <w:ind w:firstLine="320" w:firstLineChars="100"/>
        <w:jc w:val="left"/>
        <w:rPr>
          <w:rFonts w:hint="eastAsia" w:ascii="仿宋" w:hAnsi="仿宋" w:eastAsia="仿宋" w:cs="仿宋"/>
          <w:kern w:val="0"/>
          <w:sz w:val="32"/>
          <w:szCs w:val="32"/>
        </w:rPr>
      </w:pPr>
      <w:r>
        <w:rPr>
          <w:rFonts w:hint="eastAsia" w:ascii="仿宋" w:hAnsi="仿宋" w:eastAsia="仿宋" w:cs="仿宋"/>
          <w:kern w:val="0"/>
          <w:sz w:val="32"/>
          <w:szCs w:val="32"/>
        </w:rPr>
        <w:t>本报告及单位决算表的合计数与明细合计之差，是由于系统取数转换万元时保留2位小数四舍五入导致的。</w:t>
      </w:r>
    </w:p>
    <w:p w14:paraId="22AEFFB7">
      <w:pPr>
        <w:widowControl/>
        <w:spacing w:before="240" w:after="240"/>
        <w:jc w:val="left"/>
        <w:rPr>
          <w:rFonts w:hint="eastAsia" w:ascii="仿宋" w:hAnsi="仿宋" w:eastAsia="仿宋" w:cs="仿宋"/>
          <w:kern w:val="0"/>
          <w:sz w:val="32"/>
          <w:szCs w:val="32"/>
        </w:rPr>
      </w:pPr>
    </w:p>
    <w:p w14:paraId="53D5CC17">
      <w:pPr>
        <w:widowControl/>
        <w:spacing w:before="240" w:after="240"/>
        <w:jc w:val="left"/>
        <w:rPr>
          <w:rFonts w:eastAsia="Times New Roman"/>
          <w:kern w:val="0"/>
          <w:sz w:val="24"/>
        </w:rPr>
      </w:pPr>
    </w:p>
    <w:bookmarkEnd w:id="0"/>
    <w:p w14:paraId="12F4B1CB">
      <w:pPr>
        <w:adjustRightInd w:val="0"/>
        <w:snapToGrid w:val="0"/>
        <w:rPr>
          <w:rFonts w:ascii="宋体" w:hAnsi="宋体"/>
          <w:b/>
          <w:sz w:val="32"/>
          <w:szCs w:val="32"/>
        </w:rPr>
      </w:pPr>
    </w:p>
    <w:p w14:paraId="2B213346">
      <w:pPr>
        <w:adjustRightInd w:val="0"/>
        <w:snapToGrid w:val="0"/>
        <w:rPr>
          <w:rFonts w:ascii="宋体" w:hAnsi="宋体"/>
          <w:b/>
          <w:sz w:val="32"/>
          <w:szCs w:val="32"/>
        </w:rPr>
      </w:pPr>
    </w:p>
    <w:p w14:paraId="4A16C794">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fang_song_gb2312">
    <w:altName w:val="Segoe Print"/>
    <w:panose1 w:val="00000000000000000000"/>
    <w:charset w:val="00"/>
    <w:family w:val="roman"/>
    <w:pitch w:val="default"/>
    <w:sig w:usb0="00000000" w:usb1="00000000" w:usb2="00000000" w:usb3="00000000" w:csb0="00000000" w:csb1="00000000"/>
  </w:font>
  <w:font w:name="times_new_roman">
    <w:altName w:val="Segoe Print"/>
    <w:panose1 w:val="00000000000000000000"/>
    <w:charset w:val="00"/>
    <w:family w:val="roman"/>
    <w:pitch w:val="default"/>
    <w:sig w:usb0="00000000" w:usb1="00000000" w:usb2="00000000" w:usb3="00000000" w:csb0="00000000" w:csb1="00000000"/>
  </w:font>
  <w:font w:name="fang_zheng_xiao_biao_song_ti">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kai_ti_gb2312">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00C5">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0531">
    <w:pPr>
      <w:pStyle w:val="13"/>
      <w:jc w:val="center"/>
    </w:pPr>
    <w:r>
      <w:fldChar w:fldCharType="begin"/>
    </w:r>
    <w:r>
      <w:instrText xml:space="preserve"> PAGE   \* MERGEFORMAT </w:instrText>
    </w:r>
    <w:r>
      <w:fldChar w:fldCharType="separate"/>
    </w:r>
    <w:r>
      <w:rPr>
        <w:lang w:val="zh-CN"/>
      </w:rPr>
      <w:t>53</w:t>
    </w:r>
    <w:r>
      <w:rPr>
        <w:lang w:val="zh-CN"/>
      </w:rPr>
      <w:fldChar w:fldCharType="end"/>
    </w:r>
  </w:p>
  <w:p w14:paraId="6810A6D7">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NDRlZjcwNzIzMjIwMGEwZGU4ODE0NGZmMzgwNTcifQ=="/>
  </w:docVars>
  <w:rsids>
    <w:rsidRoot w:val="009F0536"/>
    <w:rsid w:val="0000662F"/>
    <w:rsid w:val="00021299"/>
    <w:rsid w:val="00023E75"/>
    <w:rsid w:val="00033C6A"/>
    <w:rsid w:val="00041FA4"/>
    <w:rsid w:val="00051760"/>
    <w:rsid w:val="000550A9"/>
    <w:rsid w:val="00063AC2"/>
    <w:rsid w:val="00070272"/>
    <w:rsid w:val="000774F0"/>
    <w:rsid w:val="0008308B"/>
    <w:rsid w:val="00097269"/>
    <w:rsid w:val="000A1E15"/>
    <w:rsid w:val="000A769F"/>
    <w:rsid w:val="000B340E"/>
    <w:rsid w:val="000B7DCA"/>
    <w:rsid w:val="000C34CB"/>
    <w:rsid w:val="000D3889"/>
    <w:rsid w:val="001067CB"/>
    <w:rsid w:val="0010682D"/>
    <w:rsid w:val="0011183C"/>
    <w:rsid w:val="0012675C"/>
    <w:rsid w:val="00131035"/>
    <w:rsid w:val="001620BF"/>
    <w:rsid w:val="0017200A"/>
    <w:rsid w:val="001814D4"/>
    <w:rsid w:val="00183373"/>
    <w:rsid w:val="00183EB6"/>
    <w:rsid w:val="00192A78"/>
    <w:rsid w:val="001A59FB"/>
    <w:rsid w:val="001D21F9"/>
    <w:rsid w:val="001D7F00"/>
    <w:rsid w:val="001E7634"/>
    <w:rsid w:val="001F13AB"/>
    <w:rsid w:val="00200888"/>
    <w:rsid w:val="002038EC"/>
    <w:rsid w:val="00204509"/>
    <w:rsid w:val="00211C07"/>
    <w:rsid w:val="0021352F"/>
    <w:rsid w:val="00217568"/>
    <w:rsid w:val="00225D2E"/>
    <w:rsid w:val="002270AF"/>
    <w:rsid w:val="0023083C"/>
    <w:rsid w:val="0023107E"/>
    <w:rsid w:val="00231FCB"/>
    <w:rsid w:val="00233241"/>
    <w:rsid w:val="00241CB1"/>
    <w:rsid w:val="00250121"/>
    <w:rsid w:val="00296220"/>
    <w:rsid w:val="00297C52"/>
    <w:rsid w:val="002A780F"/>
    <w:rsid w:val="002B7622"/>
    <w:rsid w:val="002C345D"/>
    <w:rsid w:val="002E5177"/>
    <w:rsid w:val="002E693E"/>
    <w:rsid w:val="002F0181"/>
    <w:rsid w:val="00300987"/>
    <w:rsid w:val="0030784F"/>
    <w:rsid w:val="00312846"/>
    <w:rsid w:val="0031422F"/>
    <w:rsid w:val="003319BB"/>
    <w:rsid w:val="00367870"/>
    <w:rsid w:val="00375E79"/>
    <w:rsid w:val="00384342"/>
    <w:rsid w:val="003A4E85"/>
    <w:rsid w:val="003B1203"/>
    <w:rsid w:val="003B3770"/>
    <w:rsid w:val="003B3EAA"/>
    <w:rsid w:val="003B416E"/>
    <w:rsid w:val="003D52BB"/>
    <w:rsid w:val="003F1F91"/>
    <w:rsid w:val="004162D4"/>
    <w:rsid w:val="00420568"/>
    <w:rsid w:val="0042129D"/>
    <w:rsid w:val="004629FB"/>
    <w:rsid w:val="00466691"/>
    <w:rsid w:val="00475B2A"/>
    <w:rsid w:val="00482D36"/>
    <w:rsid w:val="00490629"/>
    <w:rsid w:val="0049507B"/>
    <w:rsid w:val="004A4858"/>
    <w:rsid w:val="004A738F"/>
    <w:rsid w:val="004B1589"/>
    <w:rsid w:val="004B721F"/>
    <w:rsid w:val="004C57E2"/>
    <w:rsid w:val="004D7065"/>
    <w:rsid w:val="004E0B6C"/>
    <w:rsid w:val="004E25D1"/>
    <w:rsid w:val="004F45ED"/>
    <w:rsid w:val="005011E1"/>
    <w:rsid w:val="00505A51"/>
    <w:rsid w:val="00511BC5"/>
    <w:rsid w:val="0051384E"/>
    <w:rsid w:val="005172AD"/>
    <w:rsid w:val="00520BE7"/>
    <w:rsid w:val="00521603"/>
    <w:rsid w:val="00536012"/>
    <w:rsid w:val="0053792F"/>
    <w:rsid w:val="00542020"/>
    <w:rsid w:val="0054657E"/>
    <w:rsid w:val="00554903"/>
    <w:rsid w:val="00567A05"/>
    <w:rsid w:val="00572F61"/>
    <w:rsid w:val="005734C4"/>
    <w:rsid w:val="00575DD1"/>
    <w:rsid w:val="0059054F"/>
    <w:rsid w:val="00596608"/>
    <w:rsid w:val="005B4139"/>
    <w:rsid w:val="005B47CF"/>
    <w:rsid w:val="005B5F71"/>
    <w:rsid w:val="005B6C04"/>
    <w:rsid w:val="005C13AB"/>
    <w:rsid w:val="005C3832"/>
    <w:rsid w:val="005C5872"/>
    <w:rsid w:val="005E1D4D"/>
    <w:rsid w:val="005E403F"/>
    <w:rsid w:val="005F03A4"/>
    <w:rsid w:val="00607A89"/>
    <w:rsid w:val="00611A3D"/>
    <w:rsid w:val="00621378"/>
    <w:rsid w:val="0062749F"/>
    <w:rsid w:val="00633266"/>
    <w:rsid w:val="0064080E"/>
    <w:rsid w:val="006550F1"/>
    <w:rsid w:val="00663DED"/>
    <w:rsid w:val="00667493"/>
    <w:rsid w:val="006C017F"/>
    <w:rsid w:val="006C2C62"/>
    <w:rsid w:val="006D2F2F"/>
    <w:rsid w:val="006E6709"/>
    <w:rsid w:val="006E7255"/>
    <w:rsid w:val="006F0AF3"/>
    <w:rsid w:val="007003B2"/>
    <w:rsid w:val="007043AC"/>
    <w:rsid w:val="007402A0"/>
    <w:rsid w:val="0074498C"/>
    <w:rsid w:val="00762248"/>
    <w:rsid w:val="007852F9"/>
    <w:rsid w:val="00787000"/>
    <w:rsid w:val="007A7BA5"/>
    <w:rsid w:val="007B1586"/>
    <w:rsid w:val="007B6706"/>
    <w:rsid w:val="007C1FDD"/>
    <w:rsid w:val="007C340B"/>
    <w:rsid w:val="007D6292"/>
    <w:rsid w:val="007E26FF"/>
    <w:rsid w:val="007E60CA"/>
    <w:rsid w:val="00807475"/>
    <w:rsid w:val="008100CC"/>
    <w:rsid w:val="00821A46"/>
    <w:rsid w:val="0084776D"/>
    <w:rsid w:val="00857D98"/>
    <w:rsid w:val="00894C48"/>
    <w:rsid w:val="00896385"/>
    <w:rsid w:val="008A10DB"/>
    <w:rsid w:val="008A3124"/>
    <w:rsid w:val="008B5455"/>
    <w:rsid w:val="008B7173"/>
    <w:rsid w:val="008C2ED9"/>
    <w:rsid w:val="008C547F"/>
    <w:rsid w:val="008C76E5"/>
    <w:rsid w:val="008E2DDD"/>
    <w:rsid w:val="008F0CBF"/>
    <w:rsid w:val="008F610D"/>
    <w:rsid w:val="0090562E"/>
    <w:rsid w:val="009125DD"/>
    <w:rsid w:val="0091398A"/>
    <w:rsid w:val="00924FB9"/>
    <w:rsid w:val="009325DE"/>
    <w:rsid w:val="009343D3"/>
    <w:rsid w:val="00934703"/>
    <w:rsid w:val="00945738"/>
    <w:rsid w:val="00945D36"/>
    <w:rsid w:val="00945EBA"/>
    <w:rsid w:val="00947FF6"/>
    <w:rsid w:val="00954CD9"/>
    <w:rsid w:val="009738AE"/>
    <w:rsid w:val="00985044"/>
    <w:rsid w:val="00986CB4"/>
    <w:rsid w:val="00987076"/>
    <w:rsid w:val="0098733E"/>
    <w:rsid w:val="009A5EF3"/>
    <w:rsid w:val="009D42E9"/>
    <w:rsid w:val="009D6904"/>
    <w:rsid w:val="009E1EE8"/>
    <w:rsid w:val="009E227B"/>
    <w:rsid w:val="009E2740"/>
    <w:rsid w:val="009E308A"/>
    <w:rsid w:val="009E5B84"/>
    <w:rsid w:val="009F0536"/>
    <w:rsid w:val="009F06B0"/>
    <w:rsid w:val="00A05AA3"/>
    <w:rsid w:val="00A147CF"/>
    <w:rsid w:val="00A270BE"/>
    <w:rsid w:val="00A36C1D"/>
    <w:rsid w:val="00A43675"/>
    <w:rsid w:val="00A471E2"/>
    <w:rsid w:val="00A517A0"/>
    <w:rsid w:val="00A62486"/>
    <w:rsid w:val="00A67458"/>
    <w:rsid w:val="00A70286"/>
    <w:rsid w:val="00A702FD"/>
    <w:rsid w:val="00A836FB"/>
    <w:rsid w:val="00A87D2A"/>
    <w:rsid w:val="00A955A7"/>
    <w:rsid w:val="00AA5209"/>
    <w:rsid w:val="00AB013A"/>
    <w:rsid w:val="00AB5B67"/>
    <w:rsid w:val="00AD11A5"/>
    <w:rsid w:val="00AD5DB7"/>
    <w:rsid w:val="00AE47F5"/>
    <w:rsid w:val="00AF5F33"/>
    <w:rsid w:val="00B06CAF"/>
    <w:rsid w:val="00B24294"/>
    <w:rsid w:val="00B27D51"/>
    <w:rsid w:val="00B32BEE"/>
    <w:rsid w:val="00B373AF"/>
    <w:rsid w:val="00B41C3F"/>
    <w:rsid w:val="00B4208A"/>
    <w:rsid w:val="00B57D7A"/>
    <w:rsid w:val="00B72469"/>
    <w:rsid w:val="00B76620"/>
    <w:rsid w:val="00B8072D"/>
    <w:rsid w:val="00B840CE"/>
    <w:rsid w:val="00B84E5F"/>
    <w:rsid w:val="00B96C3D"/>
    <w:rsid w:val="00BA78A3"/>
    <w:rsid w:val="00BD0928"/>
    <w:rsid w:val="00BE5F73"/>
    <w:rsid w:val="00BF32B2"/>
    <w:rsid w:val="00BF4228"/>
    <w:rsid w:val="00C048B2"/>
    <w:rsid w:val="00C07A30"/>
    <w:rsid w:val="00C352FF"/>
    <w:rsid w:val="00C44231"/>
    <w:rsid w:val="00C608C3"/>
    <w:rsid w:val="00C61EDA"/>
    <w:rsid w:val="00C62DC7"/>
    <w:rsid w:val="00C75399"/>
    <w:rsid w:val="00C756BF"/>
    <w:rsid w:val="00CB1490"/>
    <w:rsid w:val="00CC6B8B"/>
    <w:rsid w:val="00CD3751"/>
    <w:rsid w:val="00CE040F"/>
    <w:rsid w:val="00D055F4"/>
    <w:rsid w:val="00D064CB"/>
    <w:rsid w:val="00D2051A"/>
    <w:rsid w:val="00D20794"/>
    <w:rsid w:val="00D45FB0"/>
    <w:rsid w:val="00D72C8A"/>
    <w:rsid w:val="00D90ABC"/>
    <w:rsid w:val="00D96390"/>
    <w:rsid w:val="00DE4615"/>
    <w:rsid w:val="00DE703D"/>
    <w:rsid w:val="00DF41AA"/>
    <w:rsid w:val="00E13B5A"/>
    <w:rsid w:val="00E219E7"/>
    <w:rsid w:val="00E34E8D"/>
    <w:rsid w:val="00E50C61"/>
    <w:rsid w:val="00E60D6A"/>
    <w:rsid w:val="00E73321"/>
    <w:rsid w:val="00E77EC0"/>
    <w:rsid w:val="00E87F9D"/>
    <w:rsid w:val="00E914C1"/>
    <w:rsid w:val="00E97C37"/>
    <w:rsid w:val="00EB0AE3"/>
    <w:rsid w:val="00EB37E3"/>
    <w:rsid w:val="00EC533A"/>
    <w:rsid w:val="00EE533B"/>
    <w:rsid w:val="00F04882"/>
    <w:rsid w:val="00F10D41"/>
    <w:rsid w:val="00F115A9"/>
    <w:rsid w:val="00F34644"/>
    <w:rsid w:val="00F4515F"/>
    <w:rsid w:val="00F63327"/>
    <w:rsid w:val="00F80A29"/>
    <w:rsid w:val="00F87332"/>
    <w:rsid w:val="00FA7CA5"/>
    <w:rsid w:val="00FD08EC"/>
    <w:rsid w:val="00FD147A"/>
    <w:rsid w:val="00FD7690"/>
    <w:rsid w:val="00FE2E93"/>
    <w:rsid w:val="00FE3214"/>
    <w:rsid w:val="00FE452C"/>
    <w:rsid w:val="00FF0411"/>
    <w:rsid w:val="00FF259B"/>
    <w:rsid w:val="02CD5A6F"/>
    <w:rsid w:val="02F0530D"/>
    <w:rsid w:val="03125B78"/>
    <w:rsid w:val="03E07A24"/>
    <w:rsid w:val="05404C1F"/>
    <w:rsid w:val="0607573C"/>
    <w:rsid w:val="069845E6"/>
    <w:rsid w:val="072B2DAF"/>
    <w:rsid w:val="0774305B"/>
    <w:rsid w:val="08964B56"/>
    <w:rsid w:val="08AE1E9F"/>
    <w:rsid w:val="091F2D9D"/>
    <w:rsid w:val="093F343F"/>
    <w:rsid w:val="093F6F9B"/>
    <w:rsid w:val="09434CDD"/>
    <w:rsid w:val="09F1C6B8"/>
    <w:rsid w:val="0A193C90"/>
    <w:rsid w:val="0A6F1B02"/>
    <w:rsid w:val="0ABD0ABF"/>
    <w:rsid w:val="0AEA2F37"/>
    <w:rsid w:val="0C62191E"/>
    <w:rsid w:val="0C7D22B4"/>
    <w:rsid w:val="0CB724EF"/>
    <w:rsid w:val="0CF167FE"/>
    <w:rsid w:val="0D3D7C96"/>
    <w:rsid w:val="0F6B6D3C"/>
    <w:rsid w:val="0FFD54BA"/>
    <w:rsid w:val="1053332C"/>
    <w:rsid w:val="11C75D80"/>
    <w:rsid w:val="12555A81"/>
    <w:rsid w:val="129739A4"/>
    <w:rsid w:val="12BA7692"/>
    <w:rsid w:val="14CD18FF"/>
    <w:rsid w:val="153D2B67"/>
    <w:rsid w:val="15E74C42"/>
    <w:rsid w:val="167D36BA"/>
    <w:rsid w:val="173506A7"/>
    <w:rsid w:val="18181DEA"/>
    <w:rsid w:val="1A736AA5"/>
    <w:rsid w:val="1AAD645B"/>
    <w:rsid w:val="1ACB4B33"/>
    <w:rsid w:val="1AD11A1D"/>
    <w:rsid w:val="1D1F4CC2"/>
    <w:rsid w:val="1FE63CE8"/>
    <w:rsid w:val="22AB7021"/>
    <w:rsid w:val="22B61C24"/>
    <w:rsid w:val="273715EA"/>
    <w:rsid w:val="278E3170"/>
    <w:rsid w:val="281573ED"/>
    <w:rsid w:val="28FE3486"/>
    <w:rsid w:val="2907142C"/>
    <w:rsid w:val="2A8059E3"/>
    <w:rsid w:val="2AD61783"/>
    <w:rsid w:val="2C7566AC"/>
    <w:rsid w:val="2D9E60D7"/>
    <w:rsid w:val="2E717347"/>
    <w:rsid w:val="2E823302"/>
    <w:rsid w:val="2FBF7029"/>
    <w:rsid w:val="308725A7"/>
    <w:rsid w:val="31B71515"/>
    <w:rsid w:val="31C003CA"/>
    <w:rsid w:val="324E146B"/>
    <w:rsid w:val="32B12408"/>
    <w:rsid w:val="332B5D17"/>
    <w:rsid w:val="3429576C"/>
    <w:rsid w:val="34DB15D1"/>
    <w:rsid w:val="35494B7A"/>
    <w:rsid w:val="357E0CC8"/>
    <w:rsid w:val="3590319C"/>
    <w:rsid w:val="35A10512"/>
    <w:rsid w:val="36C22E36"/>
    <w:rsid w:val="373D070E"/>
    <w:rsid w:val="385950D4"/>
    <w:rsid w:val="386C3059"/>
    <w:rsid w:val="3A695377"/>
    <w:rsid w:val="3A8521B0"/>
    <w:rsid w:val="3AF45588"/>
    <w:rsid w:val="3B691AD2"/>
    <w:rsid w:val="3B765F9D"/>
    <w:rsid w:val="3BC35686"/>
    <w:rsid w:val="3BE41159"/>
    <w:rsid w:val="3BE70B67"/>
    <w:rsid w:val="3C3245BA"/>
    <w:rsid w:val="3CE1162D"/>
    <w:rsid w:val="3EA572C5"/>
    <w:rsid w:val="3EF76BEA"/>
    <w:rsid w:val="3F177A97"/>
    <w:rsid w:val="40A92971"/>
    <w:rsid w:val="40C15F0C"/>
    <w:rsid w:val="412E3412"/>
    <w:rsid w:val="41B25855"/>
    <w:rsid w:val="41EE0F83"/>
    <w:rsid w:val="436A63E7"/>
    <w:rsid w:val="43BD0C0D"/>
    <w:rsid w:val="43EA7528"/>
    <w:rsid w:val="44466E54"/>
    <w:rsid w:val="44C925A2"/>
    <w:rsid w:val="45B93656"/>
    <w:rsid w:val="46FA7CC4"/>
    <w:rsid w:val="479C6D8B"/>
    <w:rsid w:val="47C00CCC"/>
    <w:rsid w:val="48D47A82"/>
    <w:rsid w:val="4A2F038B"/>
    <w:rsid w:val="4B11183E"/>
    <w:rsid w:val="4C325F10"/>
    <w:rsid w:val="4C417F01"/>
    <w:rsid w:val="4CDF1BF4"/>
    <w:rsid w:val="4DC808DA"/>
    <w:rsid w:val="4E4A6E87"/>
    <w:rsid w:val="4FCE41A2"/>
    <w:rsid w:val="4FE85264"/>
    <w:rsid w:val="51972CF4"/>
    <w:rsid w:val="521A36CE"/>
    <w:rsid w:val="52D90E94"/>
    <w:rsid w:val="52E2243E"/>
    <w:rsid w:val="53367F96"/>
    <w:rsid w:val="5345477B"/>
    <w:rsid w:val="54322F51"/>
    <w:rsid w:val="543F566E"/>
    <w:rsid w:val="54A87049"/>
    <w:rsid w:val="554C3B9F"/>
    <w:rsid w:val="565371AF"/>
    <w:rsid w:val="580C1D0B"/>
    <w:rsid w:val="58D81BED"/>
    <w:rsid w:val="58F05189"/>
    <w:rsid w:val="593257A1"/>
    <w:rsid w:val="5B955B74"/>
    <w:rsid w:val="5BAD55B3"/>
    <w:rsid w:val="5BC326E1"/>
    <w:rsid w:val="5BFE5600"/>
    <w:rsid w:val="5C0F3B78"/>
    <w:rsid w:val="5C17056B"/>
    <w:rsid w:val="5C4952DC"/>
    <w:rsid w:val="5D137698"/>
    <w:rsid w:val="5EE44E48"/>
    <w:rsid w:val="5F155135"/>
    <w:rsid w:val="5FAB005C"/>
    <w:rsid w:val="5FDB09F9"/>
    <w:rsid w:val="60BB42CE"/>
    <w:rsid w:val="60D55390"/>
    <w:rsid w:val="60E72E0D"/>
    <w:rsid w:val="61840B64"/>
    <w:rsid w:val="61C55405"/>
    <w:rsid w:val="62D45EE4"/>
    <w:rsid w:val="62E21FE6"/>
    <w:rsid w:val="649B244D"/>
    <w:rsid w:val="666E44D5"/>
    <w:rsid w:val="67010561"/>
    <w:rsid w:val="686D5EAE"/>
    <w:rsid w:val="694766FF"/>
    <w:rsid w:val="69A2602B"/>
    <w:rsid w:val="6AB44268"/>
    <w:rsid w:val="6ABA55F7"/>
    <w:rsid w:val="6ACB3360"/>
    <w:rsid w:val="6B0D1BCA"/>
    <w:rsid w:val="6B3D1532"/>
    <w:rsid w:val="6B4C26F3"/>
    <w:rsid w:val="6B6537B4"/>
    <w:rsid w:val="6B855C05"/>
    <w:rsid w:val="6DC0711C"/>
    <w:rsid w:val="6E7D0E15"/>
    <w:rsid w:val="6FA348AB"/>
    <w:rsid w:val="7056082F"/>
    <w:rsid w:val="70932B72"/>
    <w:rsid w:val="70FC4273"/>
    <w:rsid w:val="71585B75"/>
    <w:rsid w:val="71B0555E"/>
    <w:rsid w:val="769E5CA3"/>
    <w:rsid w:val="771D33A0"/>
    <w:rsid w:val="77505319"/>
    <w:rsid w:val="78C113F3"/>
    <w:rsid w:val="79053EE1"/>
    <w:rsid w:val="79C8388C"/>
    <w:rsid w:val="79FE72AE"/>
    <w:rsid w:val="7BB06386"/>
    <w:rsid w:val="7C1E59E5"/>
    <w:rsid w:val="7C2E19A1"/>
    <w:rsid w:val="7D0D04BC"/>
    <w:rsid w:val="7D3905FD"/>
    <w:rsid w:val="7DBD5B7F"/>
    <w:rsid w:val="7E6D055E"/>
    <w:rsid w:val="7F183EFE"/>
    <w:rsid w:val="AD7B3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paragraph" w:styleId="5">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w:basedOn w:val="1"/>
    <w:link w:val="31"/>
    <w:unhideWhenUsed/>
    <w:qFormat/>
    <w:uiPriority w:val="1"/>
    <w:pPr>
      <w:spacing w:after="120"/>
    </w:pPr>
    <w:rPr>
      <w:rFonts w:eastAsia="Courier New"/>
      <w:szCs w:val="21"/>
    </w:rPr>
  </w:style>
  <w:style w:type="paragraph" w:styleId="9">
    <w:name w:val="toc 5"/>
    <w:basedOn w:val="1"/>
    <w:next w:val="1"/>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qFormat/>
    <w:uiPriority w:val="0"/>
    <w:pPr>
      <w:ind w:left="1470"/>
      <w:jc w:val="left"/>
    </w:pPr>
    <w:rPr>
      <w:sz w:val="20"/>
      <w:szCs w:val="20"/>
    </w:rPr>
  </w:style>
  <w:style w:type="paragraph" w:styleId="12">
    <w:name w:val="Balloon Text"/>
    <w:basedOn w:val="1"/>
    <w:link w:val="30"/>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Char"/>
    <w:basedOn w:val="21"/>
    <w:link w:val="5"/>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Char"/>
    <w:link w:val="25"/>
    <w:qFormat/>
    <w:locked/>
    <w:uiPriority w:val="0"/>
    <w:rPr>
      <w:rFonts w:eastAsia="仿宋_GB2312"/>
      <w:sz w:val="30"/>
      <w:szCs w:val="22"/>
      <w:lang w:bidi="ar-SA"/>
    </w:rPr>
  </w:style>
  <w:style w:type="character" w:customStyle="1" w:styleId="27">
    <w:name w:val="页脚 Char"/>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Char"/>
    <w:basedOn w:val="21"/>
    <w:link w:val="4"/>
    <w:qFormat/>
    <w:uiPriority w:val="0"/>
    <w:rPr>
      <w:b/>
      <w:bCs/>
      <w:kern w:val="2"/>
      <w:sz w:val="32"/>
      <w:szCs w:val="32"/>
    </w:rPr>
  </w:style>
  <w:style w:type="character" w:customStyle="1" w:styleId="30">
    <w:name w:val="批注框文本 Char"/>
    <w:basedOn w:val="21"/>
    <w:link w:val="12"/>
    <w:qFormat/>
    <w:uiPriority w:val="0"/>
    <w:rPr>
      <w:kern w:val="2"/>
      <w:sz w:val="18"/>
      <w:szCs w:val="18"/>
    </w:rPr>
  </w:style>
  <w:style w:type="character" w:customStyle="1" w:styleId="31">
    <w:name w:val="正文文本 Char"/>
    <w:basedOn w:val="21"/>
    <w:link w:val="8"/>
    <w:qFormat/>
    <w:uiPriority w:val="1"/>
    <w:rPr>
      <w:rFonts w:eastAsia="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36153;&#29992;&#25253;&#38144;&#21333;-&#36130;&#21153;.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lenovo\Desktop\&#36153;&#29992;&#25253;&#38144;&#21333;-&#36130;&#211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r>
              <a:t>图1.收入决算图</a:t>
            </a:r>
          </a:p>
        </c:rich>
      </c:tx>
      <c:layout/>
      <c:overlay val="0"/>
      <c:spPr>
        <a:noFill/>
        <a:ln>
          <a:noFill/>
        </a:ln>
        <a:effectLst/>
      </c:spPr>
    </c:title>
    <c:autoTitleDeleted val="0"/>
    <c:plotArea>
      <c:layout/>
      <c:pieChart>
        <c:varyColors val="1"/>
        <c:ser>
          <c:idx val="0"/>
          <c:order val="0"/>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40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400000" scaled="1"/>
                </a:gradFill>
              </a:ln>
              <a:effectLst/>
            </c:spPr>
          </c:dPt>
          <c:dPt>
            <c:idx val="2"/>
            <c:bubble3D val="0"/>
            <c:spPr>
              <a:gradFill>
                <a:gsLst>
                  <a:gs pos="0">
                    <a:schemeClr val="accent3">
                      <a:hueOff val="-1670000"/>
                    </a:schemeClr>
                  </a:gs>
                  <a:gs pos="100000">
                    <a:schemeClr val="accent3"/>
                  </a:gs>
                </a:gsLst>
                <a:lin ang="5400000" scaled="0"/>
              </a:gradFill>
              <a:ln>
                <a:gradFill>
                  <a:gsLst>
                    <a:gs pos="0">
                      <a:schemeClr val="accent3">
                        <a:lumMod val="75000"/>
                        <a:hueOff val="-1670000"/>
                      </a:schemeClr>
                    </a:gs>
                    <a:gs pos="100000">
                      <a:schemeClr val="accent3">
                        <a:lumMod val="75000"/>
                      </a:schemeClr>
                    </a:gs>
                  </a:gsLst>
                  <a:lin ang="5400000" scaled="1"/>
                </a:gradFill>
              </a:ln>
              <a:effectLst/>
            </c:spPr>
          </c:dPt>
          <c:dPt>
            <c:idx val="3"/>
            <c:bubble3D val="0"/>
            <c:spPr>
              <a:gradFill>
                <a:gsLst>
                  <a:gs pos="0">
                    <a:schemeClr val="accent4">
                      <a:hueOff val="-1670000"/>
                    </a:schemeClr>
                  </a:gs>
                  <a:gs pos="100000">
                    <a:schemeClr val="accent4"/>
                  </a:gs>
                </a:gsLst>
                <a:lin ang="5400000" scaled="0"/>
              </a:gradFill>
              <a:ln>
                <a:gradFill>
                  <a:gsLst>
                    <a:gs pos="0">
                      <a:schemeClr val="accent4">
                        <a:lumMod val="75000"/>
                        <a:hueOff val="-1670000"/>
                      </a:schemeClr>
                    </a:gs>
                    <a:gs pos="100000">
                      <a:schemeClr val="accent4">
                        <a:lumMod val="75000"/>
                      </a:schemeClr>
                    </a:gs>
                  </a:gsLst>
                  <a:lin ang="5400000" scaled="1"/>
                </a:gradFill>
              </a:ln>
              <a:effectLst/>
            </c:spPr>
          </c:dPt>
          <c:dPt>
            <c:idx val="4"/>
            <c:bubble3D val="0"/>
            <c:spPr>
              <a:gradFill>
                <a:gsLst>
                  <a:gs pos="0">
                    <a:schemeClr val="accent5">
                      <a:hueOff val="-1670000"/>
                    </a:schemeClr>
                  </a:gs>
                  <a:gs pos="100000">
                    <a:schemeClr val="accent5"/>
                  </a:gs>
                </a:gsLst>
                <a:lin ang="5400000" scaled="0"/>
              </a:gradFill>
              <a:ln>
                <a:gradFill>
                  <a:gsLst>
                    <a:gs pos="0">
                      <a:schemeClr val="accent5">
                        <a:lumMod val="75000"/>
                        <a:hueOff val="-1670000"/>
                      </a:schemeClr>
                    </a:gs>
                    <a:gs pos="100000">
                      <a:schemeClr val="accent5">
                        <a:lumMod val="75000"/>
                      </a:schemeClr>
                    </a:gs>
                  </a:gsLst>
                  <a:lin ang="5400000" scaled="1"/>
                </a:gradFill>
              </a:ln>
              <a:effectLst/>
            </c:spPr>
          </c:dPt>
          <c:dPt>
            <c:idx val="5"/>
            <c:bubble3D val="0"/>
            <c:spPr>
              <a:gradFill>
                <a:gsLst>
                  <a:gs pos="0">
                    <a:schemeClr val="accent6">
                      <a:hueOff val="-1670000"/>
                    </a:schemeClr>
                  </a:gs>
                  <a:gs pos="100000">
                    <a:schemeClr val="accent6"/>
                  </a:gs>
                </a:gsLst>
                <a:lin ang="5400000" scaled="0"/>
              </a:gradFill>
              <a:ln>
                <a:gradFill>
                  <a:gsLst>
                    <a:gs pos="0">
                      <a:schemeClr val="accent6">
                        <a:lumMod val="75000"/>
                        <a:hueOff val="-1670000"/>
                      </a:schemeClr>
                    </a:gs>
                    <a:gs pos="100000">
                      <a:schemeClr val="accent6">
                        <a:lumMod val="75000"/>
                      </a:schemeClr>
                    </a:gs>
                  </a:gsLst>
                  <a:lin ang="5400000" scaled="1"/>
                </a:gradFill>
              </a:ln>
              <a:effectLst/>
            </c:spPr>
          </c:dPt>
          <c:dPt>
            <c:idx val="6"/>
            <c:bubble3D val="0"/>
            <c:spPr>
              <a:gradFill>
                <a:gsLst>
                  <a:gs pos="0">
                    <a:schemeClr val="accent1">
                      <a:lumMod val="60000"/>
                      <a:hueOff val="-1670000"/>
                    </a:schemeClr>
                  </a:gs>
                  <a:gs pos="100000">
                    <a:schemeClr val="accent1">
                      <a:lumMod val="60000"/>
                    </a:schemeClr>
                  </a:gs>
                </a:gsLst>
                <a:lin ang="5400000" scaled="0"/>
              </a:gradFill>
              <a:ln>
                <a:gradFill>
                  <a:gsLst>
                    <a:gs pos="0">
                      <a:schemeClr val="accent1">
                        <a:lumMod val="60000"/>
                        <a:lumMod val="75000"/>
                        <a:hueOff val="-1670000"/>
                      </a:schemeClr>
                    </a:gs>
                    <a:gs pos="100000">
                      <a:schemeClr val="accent1">
                        <a:lumMod val="60000"/>
                        <a:lumMod val="75000"/>
                      </a:schemeClr>
                    </a:gs>
                  </a:gsLst>
                  <a:lin ang="5400000" scaled="1"/>
                </a:gradFill>
              </a:ln>
              <a:effectLst/>
            </c:spPr>
          </c:dPt>
          <c:dPt>
            <c:idx val="7"/>
            <c:bubble3D val="0"/>
            <c:spPr>
              <a:gradFill>
                <a:gsLst>
                  <a:gs pos="0">
                    <a:schemeClr val="accent2">
                      <a:lumMod val="60000"/>
                      <a:hueOff val="-1670000"/>
                    </a:schemeClr>
                  </a:gs>
                  <a:gs pos="100000">
                    <a:schemeClr val="accent2">
                      <a:lumMod val="60000"/>
                    </a:schemeClr>
                  </a:gs>
                </a:gsLst>
                <a:lin ang="5400000" scaled="0"/>
              </a:gradFill>
              <a:ln>
                <a:gradFill>
                  <a:gsLst>
                    <a:gs pos="0">
                      <a:schemeClr val="accent2">
                        <a:lumMod val="60000"/>
                        <a:lumMod val="75000"/>
                        <a:hueOff val="-1670000"/>
                      </a:schemeClr>
                    </a:gs>
                    <a:gs pos="100000">
                      <a:schemeClr val="accent2">
                        <a:lumMod val="60000"/>
                        <a:lumMod val="75000"/>
                      </a:schemeClr>
                    </a:gs>
                  </a:gsLst>
                  <a:lin ang="5400000" scaled="1"/>
                </a:gradFill>
              </a:ln>
              <a:effectLst/>
            </c:spPr>
          </c:dPt>
          <c:dLbls>
            <c:dLbl>
              <c:idx val="0"/>
              <c:layout>
                <c:manualLayout>
                  <c:x val="-0.00582858440960949"/>
                  <c:y val="-0.137470542026709"/>
                </c:manualLayout>
              </c:layout>
              <c:numFmt formatCode="General" sourceLinked="1"/>
              <c:spPr>
                <a:solidFill>
                  <a:sysClr val="window" lastClr="FFFFFF"/>
                </a:solid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41456720783813"/>
                  <c:y val="0.452207838269197"/>
                </c:manualLayout>
              </c:layout>
              <c:numFmt formatCode="General" sourceLinked="1"/>
              <c:spPr>
                <a:solidFill>
                  <a:sysClr val="window" lastClr="FFFFFF"/>
                </a:solid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353289473684211"/>
                  <c:y val="0.391026777797484"/>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408552631578947"/>
                  <c:y val="0.242064195779394"/>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31578947368423"/>
                  <c:y val="0.148962582018088"/>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365131578947368"/>
                  <c:y val="0.0957616598687711"/>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246710526315789"/>
                  <c:y val="0.0532009221493173"/>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lumMod val="60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127733217378135"/>
                  <c:y val="-0.00646312573065052"/>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lumMod val="60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dk1">
                          <a:lumMod val="35000"/>
                          <a:lumOff val="65000"/>
                        </a:schemeClr>
                      </a:solidFill>
                      <a:prstDash val="solid"/>
                      <a:round/>
                    </a:ln>
                    <a:effectLst/>
                  </c:spPr>
                </c15:leaderLines>
              </c:ext>
            </c:extLst>
          </c:dLbls>
          <c:cat>
            <c:strRef>
              <c:f>'[费用报销单-财务.xlsx]Sheet2'!$A$2:$A$9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'[费用报销单-财务.xlsx]Sheet2'!$B$2:$B$9</c:f>
              <c:numCache>
                <c:formatCode>0%</c:formatCode>
                <c:ptCount val="8"/>
                <c:pt idx="0">
                  <c:v>0.99</c:v>
                </c:pt>
                <c:pt idx="1">
                  <c:v>0</c:v>
                </c:pt>
                <c:pt idx="2">
                  <c:v>0</c:v>
                </c:pt>
                <c:pt idx="3">
                  <c:v>0</c:v>
                </c:pt>
                <c:pt idx="4">
                  <c:v>0</c:v>
                </c:pt>
                <c:pt idx="5">
                  <c:v>0</c:v>
                </c:pt>
                <c:pt idx="6">
                  <c:v>0</c:v>
                </c:pt>
                <c:pt idx="7">
                  <c:v>0.01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extLst>
      <c:ext uri="{0b15fc19-7d7d-44ad-8c2d-2c3a37ce22c3}">
        <chartProps xmlns="https://web.wps.cn/et/2018/main" chartId="{cbdb1990-f275-4ce7-a14e-669ab1345abd}"/>
      </c:ext>
    </c:extLst>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图2.支出决算图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2"/>
              <c:layout>
                <c:manualLayout>
                  <c:x val="0.30592042973795"/>
                  <c:y val="0.31802083333242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26974140448185"/>
                  <c:y val="0.085381944443532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82236135883647"/>
                  <c:y val="0.15886574074241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'[费用报销单-财务.xlsx]Sheet2'!$A$23:$A$27</c:f>
              <c:strCache>
                <c:ptCount val="5"/>
                <c:pt idx="0">
                  <c:v>基本支出</c:v>
                </c:pt>
                <c:pt idx="1">
                  <c:v>项目支出</c:v>
                </c:pt>
                <c:pt idx="2">
                  <c:v>上缴上级支出</c:v>
                </c:pt>
                <c:pt idx="3">
                  <c:v>经营支出</c:v>
                </c:pt>
                <c:pt idx="4">
                  <c:v>对附属单位补助支出</c:v>
                </c:pt>
              </c:strCache>
            </c:strRef>
          </c:cat>
          <c:val>
            <c:numRef>
              <c:f>'[费用报销单-财务.xlsx]Sheet2'!$B$23:$B$27</c:f>
              <c:numCache>
                <c:formatCode>0%</c:formatCode>
                <c:ptCount val="5"/>
                <c:pt idx="0">
                  <c:v>0.640000000000002</c:v>
                </c:pt>
                <c:pt idx="1">
                  <c:v>0.36</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extLst>
      <c:ext uri="{0b15fc19-7d7d-44ad-8c2d-2c3a37ce22c3}">
        <chartProps xmlns="https://web.wps.cn/et/2018/main" chartId="{ca81073d-368a-4ef0-ab19-ba4f8c2d05be}"/>
      </c:ext>
    </c:extLst>
  </c:chart>
  <c:spPr>
    <a:solidFill>
      <a:srgbClr val="4472C4">
        <a:lumMod val="20000"/>
        <a:lumOff val="80000"/>
      </a:srgbClr>
    </a:solidFill>
    <a:ln w="6350" cap="flat" cmpd="sng" algn="ctr">
      <a:solidFill>
        <a:schemeClr val="tx1">
          <a:lumMod val="50000"/>
          <a:lumOff val="50000"/>
          <a:alpha val="2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微软中国</Company>
  <Pages>56</Pages>
  <Words>293</Words>
  <Characters>312</Characters>
  <Lines>220</Lines>
  <Paragraphs>62</Paragraphs>
  <TotalTime>1</TotalTime>
  <ScaleCrop>false</ScaleCrop>
  <LinksUpToDate>false</LinksUpToDate>
  <CharactersWithSpaces>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2024-10-21T11:39:00Z</dcterms:created>
  <dc:creator>Administrator</dc:creator>
  <cp:lastModifiedBy>Baysal</cp:lastModifiedBy>
  <cp:lastPrinted>2021-04-16T08:45:00Z</cp:lastPrinted>
  <dcterms:modified xsi:type="dcterms:W3CDTF">2024-11-07T07:38:22Z</dcterms:modified>
  <dc:title>××年度××部门/单位</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F586A625FCB0498F9239F4EAEE4BCDF2_13</vt:lpwstr>
  </property>
</Properties>
</file>