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bookmarkStart w:id="8" w:name="_GoBack"/>
      <w:bookmarkEnd w:id="8"/>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spacing w:before="194" w:line="237" w:lineRule="auto"/>
        <w:ind w:left="2428" w:right="622" w:hanging="2036"/>
        <w:jc w:val="left"/>
        <w:rPr>
          <w:rFonts w:hint="eastAsia" w:ascii="黑体" w:eastAsia="黑体"/>
          <w:sz w:val="44"/>
        </w:rPr>
      </w:pPr>
      <w:bookmarkStart w:id="0" w:name=" "/>
      <w:bookmarkEnd w:id="0"/>
      <w:r>
        <w:rPr>
          <w:rFonts w:hint="eastAsia" w:ascii="黑体" w:eastAsia="黑体"/>
          <w:sz w:val="44"/>
        </w:rPr>
        <w:t>2022</w:t>
      </w:r>
      <w:r>
        <w:rPr>
          <w:rFonts w:hint="eastAsia" w:ascii="黑体" w:eastAsia="黑体"/>
          <w:spacing w:val="-12"/>
          <w:sz w:val="44"/>
        </w:rPr>
        <w:t xml:space="preserve"> 年度锡林郭勒盟农村牧区社会事业发展中心单位决算公开</w:t>
      </w:r>
    </w:p>
    <w:p>
      <w:pPr>
        <w:spacing w:after="0" w:line="237" w:lineRule="auto"/>
        <w:jc w:val="left"/>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ind w:left="0" w:leftChars="0" w:firstLine="0" w:firstLineChars="0"/>
      </w:pPr>
    </w:p>
    <w:p>
      <w:pPr>
        <w:pStyle w:val="7"/>
      </w:pPr>
    </w:p>
    <w:p>
      <w:pPr>
        <w:pStyle w:val="7"/>
      </w:pPr>
    </w:p>
    <w:p>
      <w:pPr>
        <w:pStyle w:val="7"/>
      </w:pPr>
    </w:p>
    <w:p>
      <w:pPr>
        <w:pStyle w:val="5"/>
        <w:tabs>
          <w:tab w:val="left" w:pos="1919"/>
          <w:tab w:val="left" w:pos="3520"/>
          <w:tab w:val="left" w:pos="4000"/>
          <w:tab w:val="left" w:pos="4641"/>
          <w:tab w:val="left" w:pos="5279"/>
        </w:tabs>
        <w:spacing w:before="1"/>
        <w:ind w:left="0" w:right="560"/>
        <w:jc w:val="center"/>
        <w:rPr>
          <w:rFonts w:hint="eastAsia" w:ascii="黑体" w:eastAsia="黑体"/>
        </w:rPr>
      </w:pPr>
      <w:r>
        <w:rPr>
          <w:rFonts w:hint="eastAsia" w:ascii="黑体" w:eastAsia="黑体"/>
        </w:rPr>
        <w:t>批复时间：</w:t>
      </w:r>
      <w:r>
        <w:rPr>
          <w:rFonts w:hint="eastAsia" w:ascii="黑体" w:eastAsia="黑体"/>
          <w:u w:val="single"/>
        </w:rPr>
        <w:t xml:space="preserve"> </w:t>
      </w:r>
      <w:r>
        <w:rPr>
          <w:rFonts w:hint="eastAsia" w:ascii="黑体" w:eastAsia="黑体"/>
          <w:u w:val="single"/>
        </w:rPr>
        <w:tab/>
      </w:r>
      <w:r>
        <w:rPr>
          <w:rFonts w:hint="eastAsia" w:ascii="黑体" w:eastAsia="黑体"/>
          <w:u w:val="single"/>
        </w:rPr>
        <w:t>2023 年</w:t>
      </w:r>
      <w:r>
        <w:rPr>
          <w:rFonts w:hint="eastAsia" w:ascii="黑体" w:eastAsia="黑体"/>
          <w:u w:val="single"/>
        </w:rPr>
        <w:tab/>
      </w:r>
      <w:r>
        <w:rPr>
          <w:rFonts w:hint="eastAsia" w:ascii="黑体" w:eastAsia="黑体"/>
          <w:u w:val="single"/>
          <w:lang w:val="en-US" w:eastAsia="zh-CN"/>
        </w:rPr>
        <w:t>8</w:t>
      </w:r>
      <w:r>
        <w:rPr>
          <w:rFonts w:hint="eastAsia" w:ascii="黑体" w:eastAsia="黑体"/>
          <w:u w:val="single"/>
        </w:rPr>
        <w:tab/>
      </w:r>
      <w:r>
        <w:rPr>
          <w:rFonts w:hint="eastAsia" w:ascii="黑体" w:eastAsia="黑体"/>
          <w:u w:val="single"/>
        </w:rPr>
        <w:t>月</w:t>
      </w:r>
      <w:r>
        <w:rPr>
          <w:rFonts w:hint="eastAsia" w:ascii="黑体" w:eastAsia="黑体"/>
          <w:u w:val="single"/>
        </w:rPr>
        <w:tab/>
      </w:r>
      <w:r>
        <w:rPr>
          <w:rFonts w:hint="eastAsia" w:ascii="黑体" w:eastAsia="黑体"/>
          <w:u w:val="single"/>
          <w:lang w:val="en-US" w:eastAsia="zh-CN"/>
        </w:rPr>
        <w:t>14</w:t>
      </w:r>
      <w:r>
        <w:rPr>
          <w:rFonts w:hint="eastAsia" w:ascii="黑体" w:eastAsia="黑体"/>
          <w:u w:val="single"/>
        </w:rPr>
        <w:tab/>
      </w:r>
      <w:r>
        <w:rPr>
          <w:rFonts w:hint="eastAsia" w:ascii="黑体" w:eastAsia="黑体"/>
          <w:u w:val="single"/>
        </w:rPr>
        <w:t>日</w:t>
      </w:r>
    </w:p>
    <w:p>
      <w:pPr>
        <w:pStyle w:val="5"/>
        <w:tabs>
          <w:tab w:val="left" w:pos="2080"/>
          <w:tab w:val="left" w:pos="3520"/>
          <w:tab w:val="left" w:pos="4000"/>
          <w:tab w:val="left" w:pos="4641"/>
          <w:tab w:val="left" w:pos="5279"/>
        </w:tabs>
        <w:ind w:left="0" w:right="560"/>
        <w:jc w:val="center"/>
        <w:rPr>
          <w:rFonts w:hint="eastAsia" w:ascii="黑体" w:eastAsia="黑体"/>
        </w:rPr>
      </w:pPr>
      <w:r>
        <w:rPr>
          <w:rFonts w:hint="eastAsia" w:ascii="黑体" w:eastAsia="黑体"/>
        </w:rPr>
        <w:t>公开时间：</w:t>
      </w:r>
      <w:r>
        <w:rPr>
          <w:rFonts w:hint="eastAsia" w:ascii="黑体" w:eastAsia="黑体"/>
          <w:u w:val="single"/>
        </w:rPr>
        <w:t xml:space="preserve"> </w:t>
      </w:r>
      <w:r>
        <w:rPr>
          <w:rFonts w:hint="eastAsia" w:ascii="黑体" w:eastAsia="黑体"/>
          <w:u w:val="single"/>
          <w:lang w:val="en-US" w:eastAsia="zh-CN"/>
        </w:rPr>
        <w:t xml:space="preserve"> </w:t>
      </w:r>
      <w:r>
        <w:rPr>
          <w:rFonts w:hint="eastAsia" w:ascii="黑体" w:eastAsia="黑体"/>
          <w:u w:val="single"/>
        </w:rPr>
        <w:t>2023</w:t>
      </w:r>
      <w:r>
        <w:rPr>
          <w:rFonts w:hint="eastAsia" w:ascii="黑体" w:eastAsia="黑体"/>
          <w:spacing w:val="-3"/>
          <w:u w:val="single"/>
        </w:rPr>
        <w:t xml:space="preserve"> </w:t>
      </w:r>
      <w:r>
        <w:rPr>
          <w:rFonts w:hint="eastAsia" w:ascii="黑体" w:eastAsia="黑体"/>
          <w:u w:val="single"/>
        </w:rPr>
        <w:t>年</w:t>
      </w:r>
      <w:r>
        <w:rPr>
          <w:rFonts w:hint="eastAsia" w:ascii="黑体" w:eastAsia="黑体"/>
          <w:u w:val="single"/>
        </w:rPr>
        <w:tab/>
      </w:r>
      <w:r>
        <w:rPr>
          <w:rFonts w:hint="eastAsia" w:ascii="黑体" w:eastAsia="黑体"/>
          <w:u w:val="single"/>
          <w:lang w:val="en-US" w:eastAsia="zh-CN"/>
        </w:rPr>
        <w:t>8</w:t>
      </w:r>
      <w:r>
        <w:rPr>
          <w:rFonts w:hint="eastAsia" w:ascii="黑体" w:eastAsia="黑体"/>
          <w:u w:val="single"/>
        </w:rPr>
        <w:tab/>
      </w:r>
      <w:r>
        <w:rPr>
          <w:rFonts w:hint="eastAsia" w:ascii="黑体" w:eastAsia="黑体"/>
          <w:u w:val="single"/>
        </w:rPr>
        <w:t>月</w:t>
      </w:r>
      <w:r>
        <w:rPr>
          <w:rFonts w:hint="eastAsia" w:ascii="黑体" w:eastAsia="黑体"/>
          <w:u w:val="single"/>
        </w:rPr>
        <w:tab/>
      </w:r>
      <w:r>
        <w:rPr>
          <w:rFonts w:hint="eastAsia" w:ascii="黑体" w:eastAsia="黑体"/>
          <w:u w:val="single"/>
          <w:lang w:val="en-US" w:eastAsia="zh-CN"/>
        </w:rPr>
        <w:t>17</w:t>
      </w:r>
      <w:r>
        <w:rPr>
          <w:rFonts w:hint="eastAsia" w:ascii="黑体" w:eastAsia="黑体"/>
          <w:u w:val="single"/>
        </w:rPr>
        <w:tab/>
      </w:r>
      <w:r>
        <w:rPr>
          <w:rFonts w:hint="eastAsia" w:ascii="黑体" w:eastAsia="黑体"/>
          <w:u w:val="single"/>
        </w:rPr>
        <w:t>日</w:t>
      </w:r>
    </w:p>
    <w:p>
      <w:pPr>
        <w:spacing w:before="19"/>
        <w:ind w:left="3687" w:right="4116" w:firstLine="0"/>
        <w:jc w:val="center"/>
        <w:rPr>
          <w:b/>
          <w:sz w:val="48"/>
        </w:rPr>
      </w:pPr>
    </w:p>
    <w:p>
      <w:pPr>
        <w:spacing w:before="19"/>
        <w:ind w:left="3687" w:right="4116" w:firstLine="0"/>
        <w:jc w:val="center"/>
        <w:rPr>
          <w:b/>
          <w:sz w:val="48"/>
        </w:rPr>
      </w:pPr>
    </w:p>
    <w:p>
      <w:pPr>
        <w:spacing w:before="19"/>
        <w:ind w:left="3687" w:right="4116" w:firstLine="0"/>
        <w:jc w:val="center"/>
        <w:rPr>
          <w:b/>
          <w:sz w:val="48"/>
        </w:rPr>
      </w:pPr>
    </w:p>
    <w:p>
      <w:pPr>
        <w:spacing w:before="19"/>
        <w:ind w:left="3687" w:right="4116" w:firstLine="0"/>
        <w:jc w:val="center"/>
        <w:rPr>
          <w:b/>
          <w:sz w:val="48"/>
        </w:rPr>
      </w:pPr>
      <w:r>
        <w:rPr>
          <w:b/>
          <w:sz w:val="48"/>
        </w:rPr>
        <w:t>目 录</w:t>
      </w:r>
    </w:p>
    <w:p>
      <w:pPr>
        <w:pStyle w:val="5"/>
        <w:spacing w:before="12"/>
        <w:rPr>
          <w:b/>
          <w:sz w:val="25"/>
        </w:rPr>
      </w:pPr>
    </w:p>
    <w:p>
      <w:pPr>
        <w:pStyle w:val="5"/>
        <w:spacing w:before="55"/>
        <w:ind w:left="105"/>
        <w:rPr>
          <w:rFonts w:hint="eastAsia" w:ascii="黑体" w:eastAsia="黑体"/>
        </w:rPr>
      </w:pPr>
      <w:r>
        <w:rPr>
          <w:rFonts w:hint="eastAsia" w:ascii="黑体" w:eastAsia="黑体"/>
        </w:rPr>
        <w:t>第一部分 单位概况</w:t>
      </w:r>
    </w:p>
    <w:p>
      <w:pPr>
        <w:pStyle w:val="5"/>
        <w:spacing w:before="7"/>
        <w:rPr>
          <w:rFonts w:ascii="黑体"/>
          <w:sz w:val="33"/>
        </w:rPr>
      </w:pPr>
    </w:p>
    <w:p>
      <w:pPr>
        <w:pStyle w:val="5"/>
        <w:ind w:left="105"/>
      </w:pPr>
      <w:r>
        <w:t>一、主要职能、职责</w:t>
      </w:r>
    </w:p>
    <w:p>
      <w:pPr>
        <w:pStyle w:val="5"/>
        <w:spacing w:before="7"/>
        <w:rPr>
          <w:sz w:val="33"/>
        </w:rPr>
      </w:pPr>
    </w:p>
    <w:p>
      <w:pPr>
        <w:pStyle w:val="5"/>
        <w:spacing w:line="491" w:lineRule="auto"/>
        <w:ind w:left="105" w:right="3500"/>
        <w:jc w:val="both"/>
      </w:pPr>
      <w:r>
        <w:t>二、单位机构设置及决算单位构成情况</w:t>
      </w:r>
      <w:r>
        <w:rPr>
          <w:rFonts w:hint="eastAsia" w:ascii="黑体" w:eastAsia="黑体"/>
        </w:rPr>
        <w:t>第二部分 2022 年度单位决算情况说明</w:t>
      </w:r>
      <w:r>
        <w:t>一、收入支出决算总体情况说明</w:t>
      </w:r>
    </w:p>
    <w:p>
      <w:pPr>
        <w:pStyle w:val="5"/>
        <w:spacing w:line="491" w:lineRule="auto"/>
        <w:ind w:left="105" w:right="5739"/>
      </w:pPr>
      <w:r>
        <w:t>二、收入决算情况说明三、支出决算情况说明</w:t>
      </w:r>
    </w:p>
    <w:p>
      <w:pPr>
        <w:pStyle w:val="5"/>
        <w:spacing w:line="491" w:lineRule="auto"/>
        <w:ind w:left="105" w:right="3178"/>
      </w:pPr>
      <w:r>
        <w:t>四、财政拨款收入支出决算总体情况说明五、一般公共预算支出决算情况说明</w:t>
      </w:r>
    </w:p>
    <w:p>
      <w:pPr>
        <w:pStyle w:val="5"/>
        <w:spacing w:line="491" w:lineRule="auto"/>
        <w:ind w:left="105" w:right="2895"/>
      </w:pPr>
      <w:r>
        <w:t>六、一般公共预算基本支出决算情况说明七、一般公共预算项目支出决算情况说明八、财政拨款</w:t>
      </w:r>
      <w:r>
        <w:rPr>
          <w:rFonts w:ascii="Times New Roman" w:hAnsi="Times New Roman" w:eastAsia="Times New Roman"/>
        </w:rPr>
        <w:t>“</w:t>
      </w:r>
      <w:r>
        <w:t>三公</w:t>
      </w:r>
      <w:r>
        <w:rPr>
          <w:rFonts w:ascii="Times New Roman" w:hAnsi="Times New Roman" w:eastAsia="Times New Roman"/>
        </w:rPr>
        <w:t>”</w:t>
      </w:r>
      <w:r>
        <w:t>经费支出决算情况说明</w:t>
      </w:r>
    </w:p>
    <w:p>
      <w:pPr>
        <w:pStyle w:val="5"/>
        <w:spacing w:line="491" w:lineRule="auto"/>
        <w:ind w:left="105" w:right="1899"/>
      </w:pPr>
      <w:r>
        <w:t xml:space="preserve">九、政府性基金预算财政拨款支出决算情况说明 </w:t>
      </w:r>
      <w:r>
        <w:rPr>
          <w:spacing w:val="-1"/>
        </w:rPr>
        <w:t>十、国有资本经营预算财政拨款支出决算情况说明</w:t>
      </w:r>
      <w:r>
        <w:t>十一、项目支出决算情况说明</w:t>
      </w:r>
    </w:p>
    <w:p>
      <w:pPr>
        <w:pStyle w:val="5"/>
        <w:spacing w:line="408" w:lineRule="exact"/>
        <w:ind w:left="105"/>
      </w:pPr>
      <w:r>
        <w:t>十二、机构运行经费支出决算情况说明</w:t>
      </w:r>
    </w:p>
    <w:p>
      <w:pPr>
        <w:pStyle w:val="5"/>
        <w:spacing w:before="2"/>
        <w:rPr>
          <w:sz w:val="33"/>
        </w:rPr>
      </w:pPr>
    </w:p>
    <w:p>
      <w:pPr>
        <w:pStyle w:val="5"/>
        <w:ind w:left="105"/>
      </w:pPr>
      <w:r>
        <w:t>十三、政府采购支出决算情况说明</w:t>
      </w:r>
    </w:p>
    <w:p>
      <w:pPr>
        <w:spacing w:after="0"/>
        <w:sectPr>
          <w:pgSz w:w="11910" w:h="16840"/>
          <w:pgMar w:top="1360" w:right="1180" w:bottom="280" w:left="1680" w:header="720" w:footer="720" w:gutter="0"/>
          <w:pgBorders>
            <w:top w:val="none" w:sz="0" w:space="0"/>
            <w:left w:val="none" w:sz="0" w:space="0"/>
            <w:bottom w:val="none" w:sz="0" w:space="0"/>
            <w:right w:val="none" w:sz="0" w:space="0"/>
          </w:pgBorders>
          <w:cols w:space="720" w:num="1"/>
        </w:sectPr>
      </w:pPr>
    </w:p>
    <w:p>
      <w:pPr>
        <w:pStyle w:val="5"/>
        <w:spacing w:before="41" w:line="491" w:lineRule="auto"/>
        <w:ind w:left="105" w:right="4779"/>
      </w:pPr>
      <w:r>
        <w:t>十四、国有资产占用情况说明十五、预算绩效情况说明</w:t>
      </w:r>
    </w:p>
    <w:p>
      <w:pPr>
        <w:pStyle w:val="5"/>
        <w:spacing w:line="409" w:lineRule="exact"/>
        <w:ind w:left="105"/>
        <w:rPr>
          <w:rFonts w:hint="eastAsia" w:ascii="黑体" w:eastAsia="黑体"/>
        </w:rPr>
      </w:pPr>
      <w:r>
        <w:rPr>
          <w:rFonts w:hint="eastAsia" w:ascii="黑体" w:eastAsia="黑体"/>
        </w:rPr>
        <w:t>第三部分 名词解释</w:t>
      </w:r>
    </w:p>
    <w:p>
      <w:pPr>
        <w:pStyle w:val="5"/>
        <w:spacing w:line="840" w:lineRule="atLeast"/>
        <w:ind w:left="105" w:right="2698"/>
        <w:rPr>
          <w:rFonts w:hint="eastAsia" w:ascii="黑体" w:eastAsia="黑体"/>
        </w:rPr>
      </w:pPr>
      <w:r>
        <w:rPr>
          <w:rFonts w:hint="eastAsia" w:ascii="黑体" w:eastAsia="黑体"/>
        </w:rPr>
        <w:t>第四部分 决算公开联系方式及信息反馈渠道第五部分 2022 年度单位决算表</w:t>
      </w:r>
    </w:p>
    <w:p>
      <w:pPr>
        <w:pStyle w:val="5"/>
        <w:spacing w:before="8"/>
        <w:rPr>
          <w:rFonts w:ascii="黑体"/>
          <w:sz w:val="23"/>
        </w:rPr>
      </w:pPr>
    </w:p>
    <w:p>
      <w:pPr>
        <w:pStyle w:val="5"/>
        <w:spacing w:line="398" w:lineRule="auto"/>
        <w:ind w:left="105" w:right="5739"/>
      </w:pPr>
      <w:r>
        <w:rPr>
          <w:spacing w:val="-2"/>
        </w:rPr>
        <w:t>一、收入支出决算总表</w:t>
      </w:r>
      <w:r>
        <w:t>二、收入决算表</w:t>
      </w:r>
    </w:p>
    <w:p>
      <w:pPr>
        <w:pStyle w:val="5"/>
        <w:spacing w:line="407" w:lineRule="exact"/>
        <w:ind w:left="105"/>
      </w:pPr>
      <w:r>
        <w:rPr>
          <w:w w:val="95"/>
        </w:rPr>
        <w:t>三、支出决算表</w:t>
      </w:r>
    </w:p>
    <w:p>
      <w:pPr>
        <w:pStyle w:val="5"/>
        <w:spacing w:before="272" w:line="398" w:lineRule="auto"/>
        <w:ind w:left="105" w:right="4460"/>
      </w:pPr>
      <w:r>
        <w:t>四、财政拨款收入支出决算总表五、项目收入支出决算表</w:t>
      </w:r>
    </w:p>
    <w:p>
      <w:pPr>
        <w:pStyle w:val="5"/>
        <w:spacing w:line="407" w:lineRule="exact"/>
        <w:ind w:left="105"/>
      </w:pPr>
      <w:r>
        <w:t>六、一般公共预算财政拨款支出决算表</w:t>
      </w:r>
    </w:p>
    <w:p>
      <w:pPr>
        <w:pStyle w:val="5"/>
        <w:spacing w:before="271" w:line="398" w:lineRule="auto"/>
        <w:ind w:left="105" w:right="2218"/>
      </w:pPr>
      <w:r>
        <w:rPr>
          <w:spacing w:val="-1"/>
        </w:rPr>
        <w:t>七、一般公共预算财政拨款基本支出决算明细表八、一般公共预算财政拨款项目支出决算明细表</w:t>
      </w:r>
      <w:r>
        <w:t>九、政府性基金预算财政拨款收入支出决算表 十、国有资本经营预算财政拨款支出决算表</w:t>
      </w:r>
    </w:p>
    <w:p>
      <w:pPr>
        <w:pStyle w:val="5"/>
        <w:spacing w:line="407" w:lineRule="exact"/>
        <w:ind w:left="105"/>
      </w:pPr>
      <w:r>
        <w:t>十一、财政拨款</w:t>
      </w:r>
      <w:r>
        <w:rPr>
          <w:rFonts w:ascii="Times New Roman" w:hAnsi="Times New Roman" w:eastAsia="Times New Roman"/>
        </w:rPr>
        <w:t>“</w:t>
      </w:r>
      <w:r>
        <w:t>三公</w:t>
      </w:r>
      <w:r>
        <w:rPr>
          <w:rFonts w:ascii="Times New Roman" w:hAnsi="Times New Roman" w:eastAsia="Times New Roman"/>
        </w:rPr>
        <w:t>”</w:t>
      </w:r>
      <w:r>
        <w:t>经费支出决算表</w:t>
      </w:r>
    </w:p>
    <w:p>
      <w:pPr>
        <w:pStyle w:val="5"/>
        <w:spacing w:before="276" w:line="235" w:lineRule="auto"/>
        <w:ind w:left="105" w:right="529"/>
      </w:pPr>
      <w:r>
        <w:rPr>
          <w:w w:val="95"/>
        </w:rPr>
        <w:t xml:space="preserve">十二、机构运行经费支出、国有资产占用情况及政府采购支 </w:t>
      </w:r>
      <w:r>
        <w:t>出信息表</w:t>
      </w:r>
    </w:p>
    <w:p>
      <w:pPr>
        <w:spacing w:after="0" w:line="235" w:lineRule="auto"/>
        <w:sectPr>
          <w:pgSz w:w="11910" w:h="16840"/>
          <w:pgMar w:top="1500" w:right="1180" w:bottom="280" w:left="1680" w:header="720" w:footer="720" w:gutter="0"/>
          <w:pgBorders>
            <w:top w:val="none" w:sz="0" w:space="0"/>
            <w:left w:val="none" w:sz="0" w:space="0"/>
            <w:bottom w:val="none" w:sz="0" w:space="0"/>
            <w:right w:val="none" w:sz="0" w:space="0"/>
          </w:pgBorders>
          <w:cols w:space="720" w:num="1"/>
        </w:sectPr>
      </w:pPr>
    </w:p>
    <w:p>
      <w:pPr>
        <w:pStyle w:val="3"/>
        <w:tabs>
          <w:tab w:val="left" w:pos="4550"/>
        </w:tabs>
        <w:spacing w:before="41" w:line="491" w:lineRule="auto"/>
        <w:ind w:left="741" w:right="3209" w:firstLine="2042"/>
      </w:pPr>
      <w:r>
        <w:t>第一部分</w:t>
      </w:r>
      <w:r>
        <w:tab/>
      </w:r>
      <w:r>
        <w:t>单位概</w:t>
      </w:r>
      <w:r>
        <w:rPr>
          <w:spacing w:val="-15"/>
        </w:rPr>
        <w:t>况</w:t>
      </w:r>
      <w:r>
        <w:t>一、主要职能、职责</w:t>
      </w:r>
    </w:p>
    <w:p>
      <w:pPr>
        <w:spacing w:before="7" w:line="338" w:lineRule="auto"/>
        <w:ind w:left="141" w:right="635" w:firstLine="652"/>
        <w:jc w:val="left"/>
        <w:rPr>
          <w:sz w:val="31"/>
        </w:rPr>
      </w:pPr>
      <w:r>
        <w:rPr>
          <w:sz w:val="31"/>
        </w:rPr>
        <w:t>1、参与乡村振兴战略的实施和乡村治理、社会事业发展、公共服务体系建设、基础设施建设等相关工作。</w:t>
      </w:r>
    </w:p>
    <w:p>
      <w:pPr>
        <w:spacing w:before="3" w:line="338" w:lineRule="auto"/>
        <w:ind w:left="105" w:right="845" w:firstLine="648"/>
        <w:jc w:val="left"/>
        <w:rPr>
          <w:sz w:val="31"/>
        </w:rPr>
      </w:pPr>
      <w:r>
        <w:rPr>
          <w:sz w:val="31"/>
        </w:rPr>
        <w:t>2、承担乡村振兴与农村牧区社会事业发展数据分析、信息报送等日常工作。</w:t>
      </w:r>
    </w:p>
    <w:p>
      <w:pPr>
        <w:spacing w:before="0" w:line="338" w:lineRule="auto"/>
        <w:ind w:left="105" w:right="845" w:firstLine="648"/>
        <w:jc w:val="left"/>
        <w:rPr>
          <w:sz w:val="31"/>
        </w:rPr>
      </w:pPr>
      <w:r>
        <w:rPr>
          <w:sz w:val="31"/>
        </w:rPr>
        <w:t>3、参与农村牧区人居环境整治及“厕所革命”的规划编制、项目管理工作，承担相关技术推广、调研工作。</w:t>
      </w:r>
    </w:p>
    <w:p>
      <w:pPr>
        <w:spacing w:before="95" w:line="338" w:lineRule="auto"/>
        <w:ind w:left="105" w:right="845" w:firstLine="648"/>
        <w:jc w:val="left"/>
        <w:rPr>
          <w:sz w:val="31"/>
        </w:rPr>
      </w:pPr>
      <w:r>
        <w:rPr>
          <w:sz w:val="31"/>
        </w:rPr>
        <w:t>4、承担农村牧区社会事业宣传培训工作，推进农村牧区精神文明和优秀农耕文化、草原文化建设等相关工作。</w:t>
      </w:r>
    </w:p>
    <w:p>
      <w:pPr>
        <w:spacing w:before="75"/>
        <w:ind w:left="768" w:right="0" w:firstLine="0"/>
        <w:jc w:val="left"/>
        <w:rPr>
          <w:sz w:val="31"/>
        </w:rPr>
      </w:pPr>
      <w:r>
        <w:rPr>
          <w:spacing w:val="13"/>
          <w:sz w:val="31"/>
        </w:rPr>
        <w:t>5</w:t>
      </w:r>
      <w:r>
        <w:rPr>
          <w:spacing w:val="5"/>
          <w:sz w:val="31"/>
        </w:rPr>
        <w:t>、承担农村牧区固定观察点调查任务。</w:t>
      </w:r>
    </w:p>
    <w:p>
      <w:pPr>
        <w:spacing w:before="255"/>
        <w:ind w:left="780" w:right="0" w:firstLine="0"/>
        <w:jc w:val="left"/>
        <w:rPr>
          <w:sz w:val="31"/>
        </w:rPr>
      </w:pPr>
      <w:r>
        <w:rPr>
          <w:spacing w:val="15"/>
          <w:sz w:val="31"/>
        </w:rPr>
        <w:t>6</w:t>
      </w:r>
      <w:r>
        <w:rPr>
          <w:spacing w:val="5"/>
          <w:sz w:val="31"/>
        </w:rPr>
        <w:t>、完成盟农牧局交办的其他工作任务。</w:t>
      </w:r>
    </w:p>
    <w:p>
      <w:pPr>
        <w:pStyle w:val="5"/>
        <w:spacing w:before="6"/>
        <w:rPr>
          <w:sz w:val="35"/>
        </w:rPr>
      </w:pPr>
    </w:p>
    <w:p>
      <w:pPr>
        <w:pStyle w:val="3"/>
        <w:ind w:left="741"/>
      </w:pPr>
      <w:r>
        <w:t>二、单位机构设置及决算单位构成情况</w:t>
      </w:r>
    </w:p>
    <w:p>
      <w:pPr>
        <w:pStyle w:val="5"/>
        <w:spacing w:before="5"/>
        <w:rPr>
          <w:rFonts w:ascii="黑体"/>
          <w:b/>
          <w:sz w:val="34"/>
        </w:rPr>
      </w:pPr>
    </w:p>
    <w:p>
      <w:pPr>
        <w:pStyle w:val="11"/>
        <w:numPr>
          <w:ilvl w:val="0"/>
          <w:numId w:val="1"/>
        </w:numPr>
        <w:tabs>
          <w:tab w:val="left" w:pos="1162"/>
        </w:tabs>
        <w:spacing w:before="0" w:after="0" w:line="338" w:lineRule="auto"/>
        <w:ind w:left="141" w:right="551" w:firstLine="652"/>
        <w:jc w:val="left"/>
        <w:rPr>
          <w:sz w:val="31"/>
        </w:rPr>
      </w:pPr>
      <w:r>
        <w:rPr>
          <w:spacing w:val="18"/>
          <w:sz w:val="31"/>
        </w:rPr>
        <w:t>.锡林郭勒盟农村牧区社会事业发展中心隶属于锡</w:t>
      </w:r>
      <w:r>
        <w:rPr>
          <w:spacing w:val="13"/>
          <w:sz w:val="31"/>
        </w:rPr>
        <w:t>盟农牧局，相当于正科级公益一类事业单位。单位编制机</w:t>
      </w:r>
      <w:r>
        <w:rPr>
          <w:spacing w:val="-29"/>
          <w:sz w:val="31"/>
        </w:rPr>
        <w:t xml:space="preserve">构 </w:t>
      </w:r>
      <w:r>
        <w:rPr>
          <w:spacing w:val="-17"/>
          <w:sz w:val="31"/>
        </w:rPr>
        <w:t>1</w:t>
      </w:r>
    </w:p>
    <w:p>
      <w:pPr>
        <w:spacing w:before="0" w:line="338" w:lineRule="auto"/>
        <w:ind w:left="141" w:right="221" w:firstLine="0"/>
        <w:jc w:val="left"/>
        <w:rPr>
          <w:sz w:val="31"/>
        </w:rPr>
      </w:pPr>
      <w:r>
        <w:rPr>
          <w:sz w:val="31"/>
        </w:rPr>
        <w:t>个，独立核算机构 1 个，单位性质是财政全额拨款事业单位， 单位执行的会计制度是政府会计制度。人员情况：事业编制 15 人，机构年末实有人员 12 人。本单位无下属单位。</w:t>
      </w:r>
    </w:p>
    <w:p>
      <w:pPr>
        <w:pStyle w:val="11"/>
        <w:numPr>
          <w:ilvl w:val="0"/>
          <w:numId w:val="1"/>
        </w:numPr>
        <w:tabs>
          <w:tab w:val="left" w:pos="1109"/>
        </w:tabs>
        <w:spacing w:before="0" w:after="0" w:line="240" w:lineRule="auto"/>
        <w:ind w:left="1108" w:right="0" w:hanging="337"/>
        <w:jc w:val="left"/>
        <w:rPr>
          <w:sz w:val="31"/>
        </w:rPr>
      </w:pPr>
      <w:r>
        <w:rPr>
          <w:spacing w:val="5"/>
          <w:sz w:val="31"/>
        </w:rPr>
        <w:t xml:space="preserve">从决算单位构成看，纳入本部门 </w:t>
      </w:r>
      <w:r>
        <w:rPr>
          <w:spacing w:val="4"/>
          <w:sz w:val="31"/>
        </w:rPr>
        <w:t>2022</w:t>
      </w:r>
      <w:r>
        <w:rPr>
          <w:spacing w:val="-7"/>
          <w:sz w:val="31"/>
        </w:rPr>
        <w:t xml:space="preserve"> 年部门汇总决</w:t>
      </w:r>
    </w:p>
    <w:p>
      <w:pPr>
        <w:spacing w:before="162" w:after="27"/>
        <w:ind w:left="139" w:right="0" w:firstLine="0"/>
        <w:jc w:val="left"/>
        <w:rPr>
          <w:sz w:val="31"/>
        </w:rPr>
      </w:pPr>
      <w:r>
        <w:rPr>
          <w:sz w:val="31"/>
        </w:rPr>
        <w:t>算编制范围的预算单位共计 1 家。详细情况见表：</w:t>
      </w:r>
    </w:p>
    <w:p>
      <w:pPr>
        <w:spacing w:before="162" w:after="27"/>
        <w:ind w:left="139" w:right="0" w:firstLine="0"/>
        <w:jc w:val="left"/>
        <w:rPr>
          <w:sz w:val="31"/>
        </w:rPr>
      </w:pPr>
    </w:p>
    <w:p>
      <w:pPr>
        <w:spacing w:before="162" w:after="27"/>
        <w:ind w:left="139" w:right="0" w:firstLine="0"/>
        <w:jc w:val="left"/>
        <w:rPr>
          <w:sz w:val="31"/>
        </w:rPr>
      </w:pPr>
    </w:p>
    <w:p>
      <w:pPr>
        <w:spacing w:before="162" w:after="27"/>
        <w:ind w:left="139" w:right="0" w:firstLine="0"/>
        <w:jc w:val="left"/>
        <w:rPr>
          <w:sz w:val="31"/>
        </w:rPr>
      </w:pPr>
    </w:p>
    <w:tbl>
      <w:tblPr>
        <w:tblStyle w:val="8"/>
        <w:tblW w:w="0" w:type="auto"/>
        <w:tblInd w:w="1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8"/>
        <w:gridCol w:w="5577"/>
        <w:gridCol w:w="2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4" w:hRule="atLeast"/>
        </w:trPr>
        <w:tc>
          <w:tcPr>
            <w:tcW w:w="968" w:type="dxa"/>
            <w:vAlign w:val="center"/>
          </w:tcPr>
          <w:p>
            <w:pPr>
              <w:pStyle w:val="12"/>
              <w:tabs>
                <w:tab w:val="left" w:pos="793"/>
              </w:tabs>
              <w:spacing w:before="105"/>
              <w:jc w:val="center"/>
              <w:rPr>
                <w:rFonts w:hint="eastAsia" w:ascii="仿宋" w:eastAsia="仿宋"/>
                <w:sz w:val="30"/>
              </w:rPr>
            </w:pPr>
            <w:r>
              <w:rPr>
                <w:rFonts w:hint="eastAsia" w:ascii="仿宋" w:eastAsia="仿宋"/>
                <w:sz w:val="30"/>
              </w:rPr>
              <w:t>序号</w:t>
            </w:r>
          </w:p>
        </w:tc>
        <w:tc>
          <w:tcPr>
            <w:tcW w:w="5577" w:type="dxa"/>
            <w:vAlign w:val="center"/>
          </w:tcPr>
          <w:p>
            <w:pPr>
              <w:pStyle w:val="12"/>
              <w:ind w:right="155"/>
              <w:jc w:val="center"/>
              <w:rPr>
                <w:rFonts w:hint="eastAsia" w:ascii="仿宋" w:eastAsia="仿宋"/>
                <w:sz w:val="30"/>
              </w:rPr>
            </w:pPr>
            <w:r>
              <w:rPr>
                <w:rFonts w:hint="eastAsia" w:ascii="仿宋" w:eastAsia="仿宋"/>
                <w:sz w:val="30"/>
              </w:rPr>
              <w:t>单位名称</w:t>
            </w:r>
          </w:p>
        </w:tc>
        <w:tc>
          <w:tcPr>
            <w:tcW w:w="2275" w:type="dxa"/>
            <w:vAlign w:val="center"/>
          </w:tcPr>
          <w:p>
            <w:pPr>
              <w:pStyle w:val="12"/>
              <w:jc w:val="center"/>
              <w:rPr>
                <w:rFonts w:ascii="仿宋"/>
                <w:sz w:val="30"/>
              </w:rPr>
            </w:pPr>
          </w:p>
          <w:p>
            <w:pPr>
              <w:pStyle w:val="12"/>
              <w:ind w:right="110"/>
              <w:jc w:val="center"/>
              <w:rPr>
                <w:rFonts w:hint="eastAsia" w:ascii="仿宋" w:eastAsia="仿宋"/>
                <w:sz w:val="30"/>
              </w:rPr>
            </w:pPr>
            <w:r>
              <w:rPr>
                <w:rFonts w:hint="eastAsia" w:ascii="仿宋" w:eastAsia="仿宋"/>
                <w:sz w:val="30"/>
              </w:rPr>
              <w:t>单位性质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968" w:type="dxa"/>
          </w:tcPr>
          <w:p>
            <w:pPr>
              <w:pStyle w:val="12"/>
              <w:spacing w:before="4"/>
              <w:rPr>
                <w:rFonts w:ascii="仿宋"/>
                <w:sz w:val="28"/>
              </w:rPr>
            </w:pPr>
          </w:p>
          <w:p>
            <w:pPr>
              <w:pStyle w:val="12"/>
              <w:ind w:left="245"/>
              <w:rPr>
                <w:rFonts w:ascii="仿宋"/>
                <w:sz w:val="30"/>
              </w:rPr>
            </w:pPr>
            <w:r>
              <w:rPr>
                <w:rFonts w:ascii="仿宋"/>
                <w:sz w:val="30"/>
              </w:rPr>
              <w:t>1</w:t>
            </w:r>
          </w:p>
        </w:tc>
        <w:tc>
          <w:tcPr>
            <w:tcW w:w="5577" w:type="dxa"/>
          </w:tcPr>
          <w:p>
            <w:pPr>
              <w:pStyle w:val="12"/>
              <w:spacing w:before="2"/>
              <w:rPr>
                <w:rFonts w:ascii="仿宋"/>
                <w:sz w:val="24"/>
              </w:rPr>
            </w:pPr>
          </w:p>
          <w:p>
            <w:pPr>
              <w:pStyle w:val="12"/>
              <w:ind w:left="180" w:right="193"/>
              <w:jc w:val="center"/>
              <w:rPr>
                <w:rFonts w:hint="eastAsia" w:ascii="仿宋" w:eastAsia="仿宋"/>
                <w:sz w:val="30"/>
              </w:rPr>
            </w:pPr>
            <w:r>
              <w:rPr>
                <w:rFonts w:hint="eastAsia" w:ascii="仿宋" w:eastAsia="仿宋"/>
                <w:sz w:val="30"/>
              </w:rPr>
              <w:t>锡林郭勒盟农村牧区社会事业发展中心</w:t>
            </w:r>
          </w:p>
        </w:tc>
        <w:tc>
          <w:tcPr>
            <w:tcW w:w="2275" w:type="dxa"/>
          </w:tcPr>
          <w:p>
            <w:pPr>
              <w:pStyle w:val="12"/>
              <w:spacing w:before="2"/>
              <w:rPr>
                <w:rFonts w:ascii="仿宋"/>
                <w:sz w:val="24"/>
              </w:rPr>
            </w:pPr>
          </w:p>
          <w:p>
            <w:pPr>
              <w:pStyle w:val="12"/>
              <w:ind w:left="136" w:right="136"/>
              <w:jc w:val="center"/>
              <w:rPr>
                <w:rFonts w:hint="eastAsia" w:ascii="仿宋" w:eastAsia="仿宋"/>
                <w:sz w:val="30"/>
              </w:rPr>
            </w:pPr>
            <w:r>
              <w:rPr>
                <w:rFonts w:hint="eastAsia" w:ascii="仿宋" w:eastAsia="仿宋"/>
                <w:sz w:val="30"/>
              </w:rPr>
              <w:t>公益一类事业单位</w:t>
            </w:r>
          </w:p>
        </w:tc>
      </w:tr>
    </w:tbl>
    <w:p>
      <w:pPr>
        <w:spacing w:after="0"/>
        <w:jc w:val="center"/>
        <w:rPr>
          <w:rFonts w:hint="eastAsia" w:ascii="仿宋" w:eastAsia="仿宋"/>
          <w:sz w:val="30"/>
        </w:rPr>
        <w:sectPr>
          <w:pgSz w:w="11910" w:h="16840"/>
          <w:pgMar w:top="1500" w:right="1180" w:bottom="280" w:left="1680" w:header="720" w:footer="720" w:gutter="0"/>
          <w:pgBorders>
            <w:top w:val="none" w:sz="0" w:space="0"/>
            <w:left w:val="none" w:sz="0" w:space="0"/>
            <w:bottom w:val="none" w:sz="0" w:space="0"/>
            <w:right w:val="none" w:sz="0" w:space="0"/>
          </w:pgBorders>
          <w:cols w:space="720" w:num="1"/>
        </w:sectPr>
      </w:pPr>
    </w:p>
    <w:p>
      <w:pPr>
        <w:pStyle w:val="5"/>
        <w:spacing w:before="3"/>
        <w:rPr>
          <w:sz w:val="14"/>
        </w:rPr>
      </w:pPr>
    </w:p>
    <w:p>
      <w:pPr>
        <w:pStyle w:val="3"/>
        <w:spacing w:before="55"/>
        <w:ind w:left="140"/>
      </w:pPr>
      <w:r>
        <w:t>三、</w:t>
      </w:r>
      <w:r>
        <w:rPr>
          <w:rFonts w:hint="eastAsia" w:ascii="宋体" w:eastAsia="宋体"/>
        </w:rPr>
        <w:t>2022</w:t>
      </w:r>
      <w:r>
        <w:rPr>
          <w:rFonts w:hint="eastAsia" w:ascii="宋体" w:eastAsia="宋体"/>
          <w:spacing w:val="-80"/>
        </w:rPr>
        <w:t xml:space="preserve"> </w:t>
      </w:r>
      <w:r>
        <w:t>年度单位主要工作完成情况</w:t>
      </w:r>
    </w:p>
    <w:p>
      <w:pPr>
        <w:pStyle w:val="5"/>
        <w:spacing w:before="4"/>
        <w:rPr>
          <w:rFonts w:ascii="黑体"/>
          <w:b/>
          <w:sz w:val="34"/>
        </w:rPr>
      </w:pPr>
    </w:p>
    <w:p>
      <w:pPr>
        <w:spacing w:before="0"/>
        <w:ind w:left="783" w:right="0" w:firstLine="0"/>
        <w:jc w:val="left"/>
        <w:rPr>
          <w:rFonts w:hint="eastAsia" w:ascii="黑体" w:eastAsia="黑体"/>
          <w:sz w:val="31"/>
        </w:rPr>
      </w:pPr>
      <w:r>
        <w:rPr>
          <w:rFonts w:hint="eastAsia" w:ascii="黑体" w:eastAsia="黑体"/>
          <w:spacing w:val="6"/>
          <w:sz w:val="31"/>
        </w:rPr>
        <w:t>（</w:t>
      </w:r>
      <w:r>
        <w:rPr>
          <w:rFonts w:hint="eastAsia" w:ascii="黑体" w:eastAsia="黑体"/>
          <w:spacing w:val="9"/>
          <w:sz w:val="31"/>
        </w:rPr>
        <w:t>一</w:t>
      </w:r>
      <w:r>
        <w:rPr>
          <w:rFonts w:hint="eastAsia" w:ascii="黑体" w:eastAsia="黑体"/>
          <w:spacing w:val="6"/>
          <w:sz w:val="31"/>
        </w:rPr>
        <w:t>）</w:t>
      </w:r>
      <w:r>
        <w:rPr>
          <w:rFonts w:hint="eastAsia" w:ascii="黑体" w:eastAsia="黑体"/>
          <w:spacing w:val="4"/>
          <w:sz w:val="31"/>
        </w:rPr>
        <w:t>业务工作</w:t>
      </w:r>
    </w:p>
    <w:p>
      <w:pPr>
        <w:pStyle w:val="5"/>
        <w:spacing w:before="10"/>
        <w:rPr>
          <w:rFonts w:ascii="黑体"/>
          <w:sz w:val="33"/>
        </w:rPr>
      </w:pPr>
    </w:p>
    <w:p>
      <w:pPr>
        <w:pStyle w:val="5"/>
        <w:spacing w:line="328" w:lineRule="auto"/>
        <w:ind w:left="140" w:right="1414" w:firstLine="681"/>
      </w:pPr>
      <w:r>
        <w:rPr>
          <w:rFonts w:hint="eastAsia" w:ascii="楷体" w:hAnsi="楷体" w:eastAsia="楷体"/>
        </w:rPr>
        <w:t>1、开展农村牧区户厕问题摸排整改督导工作。</w:t>
      </w:r>
      <w:r>
        <w:t>参与编制《锡林郭勒盟“十四五”农村牧区厕所革命实施方案》， 配合主管部门完善改厕工作建设、验收、补贴等相关标准， 主推水冲户厕，无供水条件的地区建设砖混卫生旱厕，有 力指导各地户厕问题整改工作，参与研究全盟农村牧区砖 混结构设计工作，参与起草《锡林郭勒盟“菌包”管理工 作方案（试行）》，指导旗县及相关部门切实做好户厕后 续管护工作。按照农牧办《关于开展全盟农村牧区户厕问 题摸排整改督查工作的通知》要求，5-6</w:t>
      </w:r>
      <w:r>
        <w:rPr>
          <w:spacing w:val="-11"/>
        </w:rPr>
        <w:t xml:space="preserve"> 月份对全盟农村牧区户厕进行摸排整改督查，重点围绕各地户厕问题摸排整 改工作组织实施、工作落实、资金拨付、档案建设、农牧 民满意度、后续管护及信息调度等情况开展督查，在摸排 整改工作中，发现部分厕所存在施工不规范、后续管护不 到位、部分档案台账内容不清晰、不准确、填写不规范或 未按要求归档等问题，已督促相关单位按规定整改，并形 成报告上报主管局。</w:t>
      </w:r>
    </w:p>
    <w:p>
      <w:pPr>
        <w:pStyle w:val="5"/>
        <w:spacing w:line="384" w:lineRule="exact"/>
        <w:ind w:left="780"/>
        <w:rPr>
          <w:rFonts w:hint="eastAsia" w:ascii="楷体" w:hAnsi="楷体" w:eastAsia="楷体"/>
        </w:rPr>
      </w:pPr>
      <w:r>
        <w:rPr>
          <w:rFonts w:hint="eastAsia" w:ascii="楷体" w:hAnsi="楷体" w:eastAsia="楷体"/>
        </w:rPr>
        <w:t>2、开展全盟农村牧区户厕问题摸排整改“回头看”工</w:t>
      </w:r>
    </w:p>
    <w:p>
      <w:pPr>
        <w:pStyle w:val="5"/>
        <w:spacing w:before="149" w:line="328" w:lineRule="auto"/>
        <w:ind w:left="140" w:right="1333"/>
      </w:pPr>
      <w:r>
        <w:rPr>
          <w:rFonts w:hint="eastAsia" w:ascii="楷体" w:hAnsi="楷体" w:eastAsia="楷体"/>
        </w:rPr>
        <w:t>作。</w:t>
      </w:r>
      <w:r>
        <w:t xml:space="preserve">一是参与完成全盟农村牧区户厕问题摸排评估工作和 </w:t>
      </w:r>
      <w:r>
        <w:rPr>
          <w:spacing w:val="-5"/>
        </w:rPr>
        <w:t xml:space="preserve">整改质量“回头看”工作。按计划整改 </w:t>
      </w:r>
      <w:r>
        <w:t>3044</w:t>
      </w:r>
      <w:r>
        <w:rPr>
          <w:spacing w:val="-13"/>
        </w:rPr>
        <w:t xml:space="preserve"> 户，实际完成</w:t>
      </w:r>
      <w:r>
        <w:rPr>
          <w:spacing w:val="-37"/>
        </w:rPr>
        <w:t xml:space="preserve">整改 </w:t>
      </w:r>
      <w:r>
        <w:t>3283</w:t>
      </w:r>
      <w:r>
        <w:rPr>
          <w:spacing w:val="-28"/>
        </w:rPr>
        <w:t xml:space="preserve"> 户，</w:t>
      </w:r>
      <w:r>
        <w:t>7</w:t>
      </w:r>
      <w:r>
        <w:rPr>
          <w:spacing w:val="-10"/>
        </w:rPr>
        <w:t xml:space="preserve"> 月份采取入户查验、核查档案资料等方式， 对全盟农村牧区户厕问题整改工作进行复验，验收结果已</w:t>
      </w:r>
    </w:p>
    <w:p>
      <w:pPr>
        <w:spacing w:after="0" w:line="328" w:lineRule="auto"/>
        <w:sectPr>
          <w:pgSz w:w="11920" w:h="16860"/>
          <w:pgMar w:top="1600" w:right="380" w:bottom="280" w:left="1660" w:header="720" w:footer="720" w:gutter="0"/>
          <w:pgBorders>
            <w:top w:val="none" w:sz="0" w:space="0"/>
            <w:left w:val="none" w:sz="0" w:space="0"/>
            <w:bottom w:val="none" w:sz="0" w:space="0"/>
            <w:right w:val="none" w:sz="0" w:space="0"/>
          </w:pgBorders>
          <w:cols w:space="720" w:num="1"/>
        </w:sectPr>
      </w:pPr>
    </w:p>
    <w:p>
      <w:pPr>
        <w:pStyle w:val="5"/>
        <w:spacing w:before="39" w:line="328" w:lineRule="auto"/>
        <w:ind w:left="140" w:right="1414"/>
      </w:pPr>
      <w:r>
        <w:t xml:space="preserve">全盟通报，并督促各地举一反三，完成整改。二是参与制 定农村牧区户厕问题摸排整改“回头看”工作实施方案， 指导旗县开展排查工作，查找和纠正台账不细不全不准的 问题，彻底摸准问题厕所底数，分类有序进行整改。同时 依据《关于开展全盟农村牧区户厕问题摸排整改“回头看” 工作督查的通知》和《锡林郭勒盟农村牧区户厕问题摸排 整改“回头看”工作实施方案》要求，采取随机抽取入户 </w:t>
      </w:r>
      <w:r>
        <w:rPr>
          <w:spacing w:val="-5"/>
        </w:rPr>
        <w:t xml:space="preserve">查验、核查档案资料等方式，分别于 </w:t>
      </w:r>
      <w:r>
        <w:t>9</w:t>
      </w:r>
      <w:r>
        <w:rPr>
          <w:spacing w:val="-21"/>
        </w:rPr>
        <w:t xml:space="preserve"> 月份、</w:t>
      </w:r>
      <w:r>
        <w:t>10</w:t>
      </w:r>
      <w:r>
        <w:rPr>
          <w:spacing w:val="-17"/>
        </w:rPr>
        <w:t xml:space="preserve"> 月份对全</w:t>
      </w:r>
      <w:r>
        <w:rPr>
          <w:spacing w:val="-50"/>
        </w:rPr>
        <w:t xml:space="preserve">盟 </w:t>
      </w:r>
      <w:r>
        <w:t>2013</w:t>
      </w:r>
      <w:r>
        <w:rPr>
          <w:spacing w:val="-16"/>
        </w:rPr>
        <w:t xml:space="preserve"> 以来各级财政支持建设的 </w:t>
      </w:r>
      <w:r>
        <w:t>38913</w:t>
      </w:r>
      <w:r>
        <w:rPr>
          <w:spacing w:val="-11"/>
        </w:rPr>
        <w:t xml:space="preserve"> 户农村牧区户厕全</w:t>
      </w:r>
    </w:p>
    <w:p>
      <w:pPr>
        <w:pStyle w:val="5"/>
        <w:spacing w:line="395" w:lineRule="exact"/>
        <w:ind w:left="140"/>
      </w:pPr>
      <w:r>
        <w:t>部进行“回头看”摸排， 11 月份再次对“回头看”工作整</w:t>
      </w:r>
    </w:p>
    <w:p>
      <w:pPr>
        <w:pStyle w:val="5"/>
        <w:spacing w:before="149" w:line="326" w:lineRule="auto"/>
        <w:ind w:left="140" w:right="1412"/>
      </w:pPr>
      <w:r>
        <w:t>改、“一户一档”档案建设、资金支付情况进行督促指导。</w:t>
      </w:r>
      <w:r>
        <w:rPr>
          <w:spacing w:val="-11"/>
        </w:rPr>
        <w:t xml:space="preserve">共发现问题户厕 </w:t>
      </w:r>
      <w:r>
        <w:t>6474</w:t>
      </w:r>
      <w:r>
        <w:rPr>
          <w:spacing w:val="-28"/>
        </w:rPr>
        <w:t xml:space="preserve"> 户(包括 </w:t>
      </w:r>
      <w:r>
        <w:t>2022</w:t>
      </w:r>
      <w:r>
        <w:rPr>
          <w:spacing w:val="-10"/>
        </w:rPr>
        <w:t xml:space="preserve"> 年已完成整改并验收的</w:t>
      </w:r>
    </w:p>
    <w:p>
      <w:pPr>
        <w:pStyle w:val="5"/>
        <w:spacing w:before="5" w:line="326" w:lineRule="auto"/>
        <w:ind w:left="140" w:right="1333"/>
      </w:pPr>
      <w:r>
        <w:t>702</w:t>
      </w:r>
      <w:r>
        <w:rPr>
          <w:spacing w:val="-15"/>
        </w:rPr>
        <w:t xml:space="preserve"> 户、年久失修失去厕所功能的 </w:t>
      </w:r>
      <w:r>
        <w:t>2141</w:t>
      </w:r>
      <w:r>
        <w:rPr>
          <w:spacing w:val="-10"/>
        </w:rPr>
        <w:t xml:space="preserve"> 户、列入“十四五” </w:t>
      </w:r>
      <w:r>
        <w:rPr>
          <w:spacing w:val="-18"/>
        </w:rPr>
        <w:t xml:space="preserve">后三年整改计划的 </w:t>
      </w:r>
      <w:r>
        <w:t>3631</w:t>
      </w:r>
      <w:r>
        <w:rPr>
          <w:spacing w:val="-21"/>
        </w:rPr>
        <w:t xml:space="preserve"> 户)，</w:t>
      </w:r>
      <w:r>
        <w:t>2022</w:t>
      </w:r>
      <w:r>
        <w:rPr>
          <w:spacing w:val="-10"/>
        </w:rPr>
        <w:t xml:space="preserve"> 年全盟已完成整改户厕3985</w:t>
      </w:r>
      <w:r>
        <w:rPr>
          <w:spacing w:val="-28"/>
        </w:rPr>
        <w:t xml:space="preserve"> 户。</w:t>
      </w:r>
    </w:p>
    <w:p>
      <w:pPr>
        <w:pStyle w:val="5"/>
        <w:spacing w:before="8" w:line="328" w:lineRule="auto"/>
        <w:ind w:left="140" w:right="1495" w:firstLine="640"/>
      </w:pPr>
      <w:r>
        <w:rPr>
          <w:rFonts w:hint="eastAsia" w:ascii="楷体" w:hAnsi="楷体" w:eastAsia="楷体"/>
        </w:rPr>
        <w:t>3、开展卫生旱厕“菌包”示范推广及调度工作。</w:t>
      </w:r>
      <w:r>
        <w:t>根据盟农牧局印发的《关于尽快建立卫生旱厕“菌包”管理工作机制的通知》要求，组织各旗县市区开展农村牧区卫生旱厕“菌包”投放工作。2022</w:t>
      </w:r>
      <w:r>
        <w:rPr>
          <w:spacing w:val="-19"/>
        </w:rPr>
        <w:t xml:space="preserve"> 年，全盟各地选用 </w:t>
      </w:r>
      <w:r>
        <w:t>23</w:t>
      </w:r>
      <w:r>
        <w:rPr>
          <w:spacing w:val="-22"/>
        </w:rPr>
        <w:t xml:space="preserve"> 家企业</w:t>
      </w:r>
      <w:r>
        <w:rPr>
          <w:spacing w:val="-38"/>
        </w:rPr>
        <w:t xml:space="preserve">生产的 </w:t>
      </w:r>
      <w:r>
        <w:t>26</w:t>
      </w:r>
      <w:r>
        <w:rPr>
          <w:spacing w:val="-15"/>
        </w:rPr>
        <w:t xml:space="preserve"> 种生物菌剂</w:t>
      </w:r>
      <w:r>
        <w:t>（粉）</w:t>
      </w:r>
      <w:r>
        <w:rPr>
          <w:spacing w:val="-27"/>
        </w:rPr>
        <w:t xml:space="preserve">，在 </w:t>
      </w:r>
      <w:r>
        <w:t>50</w:t>
      </w:r>
      <w:r>
        <w:rPr>
          <w:spacing w:val="-17"/>
        </w:rPr>
        <w:t xml:space="preserve"> 个苏木镇</w:t>
      </w:r>
      <w:r>
        <w:t>（场）299</w:t>
      </w:r>
      <w:r>
        <w:rPr>
          <w:spacing w:val="-41"/>
        </w:rPr>
        <w:t xml:space="preserve"> 个</w:t>
      </w:r>
    </w:p>
    <w:p>
      <w:pPr>
        <w:pStyle w:val="5"/>
        <w:spacing w:line="328" w:lineRule="auto"/>
        <w:ind w:left="140" w:right="1734"/>
        <w:jc w:val="both"/>
      </w:pPr>
      <w:r>
        <w:t>嘎查村（分场）</w:t>
      </w:r>
      <w:r>
        <w:rPr>
          <w:spacing w:val="-29"/>
        </w:rPr>
        <w:t xml:space="preserve">选取 </w:t>
      </w:r>
      <w:r>
        <w:t>12948</w:t>
      </w:r>
      <w:r>
        <w:rPr>
          <w:spacing w:val="-10"/>
        </w:rPr>
        <w:t xml:space="preserve"> 个卫生旱厕进行试验示范，经</w:t>
      </w:r>
      <w:r>
        <w:rPr>
          <w:spacing w:val="-11"/>
        </w:rPr>
        <w:t>调研了解，投放后具有不同程度粪污分解及除味效果，农</w:t>
      </w:r>
      <w:r>
        <w:rPr>
          <w:spacing w:val="-1"/>
        </w:rPr>
        <w:t>牧户使用效果较为满意，为全盟卫生旱厕后续管护提供了</w:t>
      </w:r>
      <w:r>
        <w:t>有力技术支持。</w:t>
      </w:r>
    </w:p>
    <w:p>
      <w:pPr>
        <w:spacing w:after="0" w:line="328" w:lineRule="auto"/>
        <w:jc w:val="both"/>
        <w:sectPr>
          <w:pgSz w:w="11920" w:h="16860"/>
          <w:pgMar w:top="1520" w:right="380" w:bottom="280" w:left="1660" w:header="720" w:footer="720" w:gutter="0"/>
          <w:pgBorders>
            <w:top w:val="none" w:sz="0" w:space="0"/>
            <w:left w:val="none" w:sz="0" w:space="0"/>
            <w:bottom w:val="none" w:sz="0" w:space="0"/>
            <w:right w:val="none" w:sz="0" w:space="0"/>
          </w:pgBorders>
          <w:cols w:space="720" w:num="1"/>
        </w:sectPr>
      </w:pPr>
    </w:p>
    <w:p>
      <w:pPr>
        <w:pStyle w:val="5"/>
        <w:spacing w:before="39"/>
        <w:ind w:left="939"/>
        <w:rPr>
          <w:rFonts w:hint="eastAsia" w:ascii="楷体" w:hAnsi="楷体" w:eastAsia="楷体"/>
        </w:rPr>
      </w:pPr>
      <w:r>
        <w:rPr>
          <w:rFonts w:hint="eastAsia" w:ascii="楷体" w:hAnsi="楷体" w:eastAsia="楷体"/>
          <w:w w:val="95"/>
        </w:rPr>
        <w:t>4、积极开展农村牧区“厕所革命”宣传培训工作。</w:t>
      </w:r>
    </w:p>
    <w:p>
      <w:pPr>
        <w:pStyle w:val="5"/>
        <w:spacing w:before="149" w:line="328" w:lineRule="auto"/>
        <w:ind w:left="140" w:right="1652"/>
      </w:pPr>
      <w:r>
        <w:t>11</w:t>
      </w:r>
      <w:r>
        <w:rPr>
          <w:spacing w:val="-10"/>
        </w:rPr>
        <w:t xml:space="preserve"> 月份，派技术骨干与锡林郭勒电视台专业人员赴相关旗县开展《锡林郭勒盟：推进厕所革命“擦亮”乡村振兴 </w:t>
      </w:r>
      <w:r>
        <w:rPr>
          <w:spacing w:val="-14"/>
        </w:rPr>
        <w:t xml:space="preserve">“底色”》宣传片录制工作，制作完成后分 </w:t>
      </w:r>
      <w:r>
        <w:t>2</w:t>
      </w:r>
      <w:r>
        <w:rPr>
          <w:spacing w:val="-15"/>
        </w:rPr>
        <w:t xml:space="preserve"> 期在锡林郭勒电视台“今日视点”节目播出，舆论宣传效果较好。为了进一步强化“厕所革命”宣传引导，单位制作了《小厕</w:t>
      </w:r>
    </w:p>
    <w:p>
      <w:pPr>
        <w:pStyle w:val="5"/>
        <w:spacing w:line="328" w:lineRule="auto"/>
        <w:ind w:left="140" w:right="1420"/>
      </w:pPr>
      <w:r>
        <w:t>所、大民生》和《锡盟农村牧区户厕后期管护进行时》2 部微视频，在锡盟农牧局微信公众号上宣传报道，通过典型引导农牧民逐步形成健康卫生的生活习惯。同时，联合主管局举办全盟农村牧区户厕问题摸排整改档案工作业务座谈会，提升了基层业务人员工作能力。</w:t>
      </w:r>
    </w:p>
    <w:p>
      <w:pPr>
        <w:pStyle w:val="5"/>
        <w:spacing w:line="328" w:lineRule="auto"/>
        <w:ind w:left="140" w:right="1573" w:firstLine="640"/>
      </w:pPr>
      <w:r>
        <w:rPr>
          <w:rFonts w:hint="eastAsia" w:ascii="楷体" w:hAnsi="楷体" w:eastAsia="楷体"/>
        </w:rPr>
        <w:t>5、开展农村牧区村容村貌提升工作。</w:t>
      </w:r>
      <w:r>
        <w:t>协助盟局完成农村牧区村容村貌提升相关数据调度工作，督促各地开展以“三清一改”（清理农村牧区生活垃圾、清理嘎查村内塘沟、清理畜禽养殖粪污农牧业生产废弃物，改变影响农村牧区人居环境的不良习惯）、清四堆（垃圾堆、废物堆、粪土堆、柴草堆）、治四乱（柴草乱放、垃圾乱到、污水乱波、畜禽乱跑）为重点的村庄清洁行动，进一步加强宣传引导，全面提升农牧民爱护环境、讲卫生的意识。经调</w:t>
      </w:r>
      <w:r>
        <w:rPr>
          <w:spacing w:val="-17"/>
        </w:rPr>
        <w:t xml:space="preserve">度，全盟 </w:t>
      </w:r>
      <w:r>
        <w:t>906</w:t>
      </w:r>
      <w:r>
        <w:rPr>
          <w:spacing w:val="-10"/>
        </w:rPr>
        <w:t xml:space="preserve"> 个行政村开展村庄清洁行动和常态化保洁，</w:t>
      </w:r>
    </w:p>
    <w:p>
      <w:pPr>
        <w:pStyle w:val="5"/>
        <w:spacing w:line="395" w:lineRule="exact"/>
        <w:ind w:left="140"/>
      </w:pPr>
      <w:r>
        <w:rPr>
          <w:spacing w:val="-10"/>
        </w:rPr>
        <w:t xml:space="preserve">清理农村生活垃圾 </w:t>
      </w:r>
      <w:r>
        <w:t>6.3</w:t>
      </w:r>
      <w:r>
        <w:rPr>
          <w:spacing w:val="-17"/>
        </w:rPr>
        <w:t xml:space="preserve"> 万吨、清理村内水塘 </w:t>
      </w:r>
      <w:r>
        <w:t>205</w:t>
      </w:r>
      <w:r>
        <w:rPr>
          <w:spacing w:val="-17"/>
        </w:rPr>
        <w:t xml:space="preserve"> 口、清理</w:t>
      </w:r>
    </w:p>
    <w:p>
      <w:pPr>
        <w:pStyle w:val="5"/>
        <w:spacing w:before="134"/>
        <w:ind w:left="140"/>
      </w:pPr>
      <w:r>
        <w:t>村内沟渠 1646 公里、清理畜禽养殖粪污等农业生产废弃物</w:t>
      </w:r>
    </w:p>
    <w:p>
      <w:pPr>
        <w:pStyle w:val="5"/>
        <w:spacing w:before="149"/>
        <w:ind w:left="140"/>
      </w:pPr>
      <w:r>
        <w:t>9.7 万吨，开展进村入户宣传教育 13343 次、发放宣传资料</w:t>
      </w:r>
    </w:p>
    <w:p>
      <w:pPr>
        <w:spacing w:after="0"/>
        <w:sectPr>
          <w:pgSz w:w="11920" w:h="16860"/>
          <w:pgMar w:top="1520" w:right="380" w:bottom="280" w:left="1660" w:header="720" w:footer="720" w:gutter="0"/>
          <w:pgBorders>
            <w:top w:val="none" w:sz="0" w:space="0"/>
            <w:left w:val="none" w:sz="0" w:space="0"/>
            <w:bottom w:val="none" w:sz="0" w:space="0"/>
            <w:right w:val="none" w:sz="0" w:space="0"/>
          </w:pgBorders>
          <w:cols w:space="720" w:num="1"/>
        </w:sectPr>
      </w:pPr>
    </w:p>
    <w:p>
      <w:pPr>
        <w:pStyle w:val="5"/>
        <w:spacing w:before="39"/>
        <w:ind w:left="140"/>
      </w:pPr>
      <w:r>
        <w:t>13 万份、张贴宣传标语 6103 条、发动农牧民群众投工投劳</w:t>
      </w:r>
    </w:p>
    <w:p>
      <w:pPr>
        <w:pStyle w:val="11"/>
        <w:numPr>
          <w:ilvl w:val="1"/>
          <w:numId w:val="2"/>
        </w:numPr>
        <w:tabs>
          <w:tab w:val="left" w:pos="700"/>
        </w:tabs>
        <w:spacing w:before="149" w:after="0" w:line="240" w:lineRule="auto"/>
        <w:ind w:left="699" w:right="0" w:hanging="560"/>
        <w:jc w:val="left"/>
        <w:rPr>
          <w:sz w:val="32"/>
        </w:rPr>
      </w:pPr>
      <w:r>
        <w:rPr>
          <w:sz w:val="32"/>
        </w:rPr>
        <w:t>万人次。</w:t>
      </w:r>
    </w:p>
    <w:p>
      <w:pPr>
        <w:pStyle w:val="5"/>
        <w:spacing w:before="149" w:line="328" w:lineRule="auto"/>
        <w:ind w:left="140" w:right="1573" w:firstLine="640"/>
      </w:pPr>
      <w:r>
        <w:rPr>
          <w:rFonts w:hint="eastAsia" w:ascii="楷体" w:eastAsia="楷体"/>
        </w:rPr>
        <w:t>6、完成全盟农村牧区固定观察点调查任务。</w:t>
      </w:r>
      <w:r>
        <w:t>目前，我</w:t>
      </w:r>
      <w:r>
        <w:rPr>
          <w:spacing w:val="-10"/>
        </w:rPr>
        <w:t xml:space="preserve">盟现有固定观察点 </w:t>
      </w:r>
      <w:r>
        <w:t>5</w:t>
      </w:r>
      <w:r>
        <w:rPr>
          <w:spacing w:val="-16"/>
        </w:rPr>
        <w:t xml:space="preserve"> 个,其中国家级观察点 </w:t>
      </w:r>
      <w:r>
        <w:t>2</w:t>
      </w:r>
      <w:r>
        <w:rPr>
          <w:spacing w:val="-13"/>
        </w:rPr>
        <w:t xml:space="preserve"> 个、自治区级</w:t>
      </w:r>
    </w:p>
    <w:p>
      <w:pPr>
        <w:pStyle w:val="5"/>
        <w:spacing w:line="328" w:lineRule="auto"/>
        <w:ind w:left="140" w:right="1495"/>
      </w:pPr>
      <w:r>
        <w:rPr>
          <w:spacing w:val="-21"/>
        </w:rPr>
        <w:t xml:space="preserve">观察点 </w:t>
      </w:r>
      <w:r>
        <w:t>3</w:t>
      </w:r>
      <w:r>
        <w:rPr>
          <w:spacing w:val="-16"/>
        </w:rPr>
        <w:t xml:space="preserve"> 个，涉及记账调查农牧户 </w:t>
      </w:r>
      <w:r>
        <w:t>120</w:t>
      </w:r>
      <w:r>
        <w:rPr>
          <w:spacing w:val="-28"/>
        </w:rPr>
        <w:t xml:space="preserve"> 户。</w:t>
      </w:r>
      <w:r>
        <w:t>1</w:t>
      </w:r>
      <w:r>
        <w:rPr>
          <w:spacing w:val="-13"/>
        </w:rPr>
        <w:t xml:space="preserve"> 月份，组织相关旗县调查员及记账户参加自治区固定观察点业务线上培</w:t>
      </w:r>
      <w:r>
        <w:rPr>
          <w:spacing w:val="-10"/>
        </w:rPr>
        <w:t xml:space="preserve">训； </w:t>
      </w:r>
      <w:r>
        <w:t>3</w:t>
      </w:r>
      <w:r>
        <w:rPr>
          <w:spacing w:val="-10"/>
        </w:rPr>
        <w:t xml:space="preserve"> 月份，印发《关于转发&lt;</w:t>
      </w:r>
      <w:r>
        <w:t>2021</w:t>
      </w:r>
      <w:r>
        <w:rPr>
          <w:spacing w:val="-10"/>
        </w:rPr>
        <w:t xml:space="preserve"> 年度全区观察点系统优秀调查员和记账户考核评选工作的通知&gt;的通知》及《关于强化农村牧区固定观察点工作的通知》，督促相关旗县开展常规调查和专项调查工作；5</w:t>
      </w:r>
      <w:r>
        <w:rPr>
          <w:spacing w:val="-28"/>
        </w:rPr>
        <w:t xml:space="preserve"> 月份，在 </w:t>
      </w:r>
      <w:r>
        <w:t>2021</w:t>
      </w:r>
      <w:r>
        <w:rPr>
          <w:spacing w:val="-17"/>
        </w:rPr>
        <w:t xml:space="preserve"> 年度全区固定观察点旗县优秀调查员和记账户考核中，镶黄旗、阿巴嘎旗获得第二类奖励，苏尼特右旗获得第三类奖励；9</w:t>
      </w:r>
      <w:r>
        <w:rPr>
          <w:spacing w:val="-49"/>
        </w:rPr>
        <w:t xml:space="preserve"> 月</w:t>
      </w:r>
      <w:r>
        <w:t>份，按照自治区要求，增设了固定观察点盟级调查员，确定相关职责任务；11</w:t>
      </w:r>
      <w:r>
        <w:rPr>
          <w:spacing w:val="-16"/>
        </w:rPr>
        <w:t xml:space="preserve"> 月份，形成锡林郭勒盟 </w:t>
      </w:r>
      <w:r>
        <w:t>2019-2021</w:t>
      </w:r>
      <w:r>
        <w:rPr>
          <w:spacing w:val="-43"/>
        </w:rPr>
        <w:t xml:space="preserve"> 年度农村牧区固定观察点补贴资金使用情况自查报告上报自治区；12</w:t>
      </w:r>
      <w:r>
        <w:rPr>
          <w:spacing w:val="-10"/>
        </w:rPr>
        <w:t xml:space="preserve"> 月份，组织中心专业技术人员参加全区农村牧区固定观察点调查业务培训（线上）和繁荣发展乡村文化培训班（线上）。</w:t>
      </w:r>
    </w:p>
    <w:p>
      <w:pPr>
        <w:pStyle w:val="5"/>
        <w:spacing w:line="387" w:lineRule="exact"/>
        <w:ind w:left="780"/>
      </w:pPr>
      <w:r>
        <w:rPr>
          <w:rFonts w:hint="eastAsia" w:ascii="楷体" w:eastAsia="楷体"/>
        </w:rPr>
        <w:t>7、加强安全生产管理。</w:t>
      </w:r>
      <w:r>
        <w:t>制定《锡盟农村收区社会事业</w:t>
      </w:r>
    </w:p>
    <w:p>
      <w:pPr>
        <w:pStyle w:val="5"/>
        <w:spacing w:before="147" w:line="328" w:lineRule="auto"/>
        <w:ind w:left="140" w:right="1575"/>
      </w:pPr>
      <w:r>
        <w:t>发展中心春季安全生产风险隐患大排查大整治工作方案》并召开安全生产动员会，全面健全安全生产长效机制，实现隐患排查整治工作常态化、规范化和制度化。疫情防控</w:t>
      </w:r>
      <w:r>
        <w:rPr>
          <w:w w:val="95"/>
        </w:rPr>
        <w:t xml:space="preserve">方面:制定疫情防控工作方案及应急处置预案，成立疫情防 </w:t>
      </w:r>
      <w:r>
        <w:t>控工作领导组，保障突发情况下有序有力开展防控工作，</w:t>
      </w:r>
    </w:p>
    <w:p>
      <w:pPr>
        <w:spacing w:after="0" w:line="328" w:lineRule="auto"/>
        <w:sectPr>
          <w:pgSz w:w="11920" w:h="16860"/>
          <w:pgMar w:top="1520" w:right="380" w:bottom="280" w:left="1660" w:header="720" w:footer="720" w:gutter="0"/>
          <w:pgBorders>
            <w:top w:val="none" w:sz="0" w:space="0"/>
            <w:left w:val="none" w:sz="0" w:space="0"/>
            <w:bottom w:val="none" w:sz="0" w:space="0"/>
            <w:right w:val="none" w:sz="0" w:space="0"/>
          </w:pgBorders>
          <w:cols w:space="720" w:num="1"/>
        </w:sectPr>
      </w:pPr>
    </w:p>
    <w:p>
      <w:pPr>
        <w:pStyle w:val="5"/>
        <w:spacing w:before="39"/>
        <w:ind w:left="140"/>
      </w:pPr>
      <w:r>
        <w:t>开展防疫工作社会面宣传，张贴防疫宣传画 31 张；消防安</w:t>
      </w:r>
    </w:p>
    <w:p>
      <w:pPr>
        <w:pStyle w:val="5"/>
        <w:spacing w:before="149" w:line="328" w:lineRule="auto"/>
        <w:ind w:left="140" w:right="1494"/>
      </w:pPr>
      <w:r>
        <w:rPr>
          <w:spacing w:val="-5"/>
        </w:rPr>
        <w:t xml:space="preserve">全方面：对工作区域内两项安全问题完成 </w:t>
      </w:r>
      <w:r>
        <w:t>3</w:t>
      </w:r>
      <w:r>
        <w:rPr>
          <w:spacing w:val="-13"/>
        </w:rPr>
        <w:t xml:space="preserve"> 次排查，所查隐患问题整改清零，4</w:t>
      </w:r>
      <w:r>
        <w:rPr>
          <w:spacing w:val="-10"/>
        </w:rPr>
        <w:t xml:space="preserve"> 月份邀请内蒙古消防行业协会教师对</w:t>
      </w:r>
      <w:r>
        <w:rPr>
          <w:spacing w:val="-14"/>
        </w:rPr>
        <w:t xml:space="preserve">全体干部职工进行消防安全知识专题培训 </w:t>
      </w:r>
      <w:r>
        <w:t>1</w:t>
      </w:r>
      <w:r>
        <w:rPr>
          <w:spacing w:val="-13"/>
        </w:rPr>
        <w:t xml:space="preserve"> 次，参加安全</w:t>
      </w:r>
    </w:p>
    <w:p>
      <w:pPr>
        <w:pStyle w:val="5"/>
        <w:spacing w:line="405" w:lineRule="exact"/>
        <w:ind w:left="140"/>
      </w:pPr>
      <w:r>
        <w:rPr>
          <w:spacing w:val="-9"/>
        </w:rPr>
        <w:t xml:space="preserve">生产专题线上宣讲课 </w:t>
      </w:r>
      <w:r>
        <w:t>1</w:t>
      </w:r>
      <w:r>
        <w:rPr>
          <w:spacing w:val="-10"/>
        </w:rPr>
        <w:t xml:space="preserve"> 次；网络安全方面：召开意识形态</w:t>
      </w:r>
    </w:p>
    <w:p>
      <w:pPr>
        <w:pStyle w:val="5"/>
        <w:spacing w:before="149"/>
        <w:ind w:left="140"/>
      </w:pPr>
      <w:r>
        <w:rPr>
          <w:spacing w:val="-8"/>
        </w:rPr>
        <w:t xml:space="preserve">与网络安全专题研判会 </w:t>
      </w:r>
      <w:r>
        <w:t>1</w:t>
      </w:r>
      <w:r>
        <w:rPr>
          <w:spacing w:val="-10"/>
        </w:rPr>
        <w:t xml:space="preserve"> 次，全面研判中心存在风险，建</w:t>
      </w:r>
    </w:p>
    <w:p>
      <w:pPr>
        <w:pStyle w:val="5"/>
        <w:spacing w:before="152" w:line="326" w:lineRule="auto"/>
        <w:ind w:left="140" w:right="2053"/>
      </w:pPr>
      <w:r>
        <w:t>立发文（简讯）</w:t>
      </w:r>
      <w:r>
        <w:rPr>
          <w:spacing w:val="-9"/>
        </w:rPr>
        <w:t xml:space="preserve">“三审”制度，确定 </w:t>
      </w:r>
      <w:r>
        <w:t>2</w:t>
      </w:r>
      <w:r>
        <w:rPr>
          <w:spacing w:val="-17"/>
        </w:rPr>
        <w:t xml:space="preserve"> 名网评员</w:t>
      </w:r>
      <w:r>
        <w:t>（通讯员），全面负责微信群等网络平台舆情监督。</w:t>
      </w:r>
    </w:p>
    <w:p>
      <w:pPr>
        <w:spacing w:before="114"/>
        <w:ind w:left="912" w:right="0" w:firstLine="0"/>
        <w:jc w:val="left"/>
        <w:rPr>
          <w:rFonts w:hint="eastAsia" w:ascii="黑体" w:eastAsia="黑体"/>
          <w:sz w:val="31"/>
        </w:rPr>
      </w:pPr>
      <w:bookmarkStart w:id="1" w:name="（二）存在问题"/>
      <w:bookmarkEnd w:id="1"/>
      <w:r>
        <w:rPr>
          <w:rFonts w:hint="eastAsia" w:ascii="黑体" w:eastAsia="黑体"/>
          <w:sz w:val="31"/>
        </w:rPr>
        <w:t>（二）存在问题</w:t>
      </w:r>
    </w:p>
    <w:p>
      <w:pPr>
        <w:pStyle w:val="5"/>
        <w:spacing w:before="154" w:line="328" w:lineRule="auto"/>
        <w:ind w:left="140" w:right="1415" w:firstLine="640"/>
      </w:pPr>
      <w:r>
        <w:t xml:space="preserve">一是党建工作创新性和特色性不够强。存在对新形势 下基层党建工作遇到的新情况、新问题研究不深，在创新 </w:t>
      </w:r>
      <w:r>
        <w:rPr>
          <w:spacing w:val="-1"/>
        </w:rPr>
        <w:t xml:space="preserve">党建工作形式、丰富党建工作载体方面还不够到位的现象； 党支部组织生活形式传统单一、特点不突出、亮点不明显， </w:t>
      </w:r>
      <w:r>
        <w:t>缺乏吸引力和凝聚力。</w:t>
      </w:r>
    </w:p>
    <w:p>
      <w:pPr>
        <w:pStyle w:val="5"/>
        <w:spacing w:line="328" w:lineRule="auto"/>
        <w:ind w:left="140" w:right="1734" w:firstLine="640"/>
        <w:jc w:val="both"/>
      </w:pPr>
      <w:r>
        <w:t>二是单位缺乏相关专业技术人才，部分人员对现有业务相关知识和技能还未完全了解和掌握等现象，致使一些工作开展的不够细致，不够严谨；单位无车辆编制、未配备公务用车。</w:t>
      </w:r>
    </w:p>
    <w:p>
      <w:pPr>
        <w:spacing w:before="93"/>
        <w:ind w:left="792" w:right="0" w:firstLine="0"/>
        <w:jc w:val="left"/>
        <w:rPr>
          <w:rFonts w:hint="eastAsia" w:ascii="黑体" w:eastAsia="黑体"/>
          <w:sz w:val="31"/>
        </w:rPr>
      </w:pPr>
      <w:bookmarkStart w:id="2" w:name="（三）改进措施"/>
      <w:bookmarkEnd w:id="2"/>
      <w:r>
        <w:rPr>
          <w:rFonts w:hint="eastAsia" w:ascii="黑体" w:eastAsia="黑体"/>
          <w:sz w:val="31"/>
        </w:rPr>
        <w:t>（三）改进措施</w:t>
      </w:r>
    </w:p>
    <w:p>
      <w:pPr>
        <w:pStyle w:val="5"/>
        <w:spacing w:before="154" w:line="328" w:lineRule="auto"/>
        <w:ind w:left="140" w:right="1734" w:firstLine="640"/>
        <w:jc w:val="both"/>
      </w:pPr>
      <w:r>
        <w:t>一是进一步加强党员队伍建设，积极探索党员教育管理新机制、新方法，创新党支部的活动方式，丰富活动内容，加强党员的教育管理，不断提高党员素质，努力争创最强党支部。</w:t>
      </w:r>
    </w:p>
    <w:p>
      <w:pPr>
        <w:spacing w:after="0" w:line="328" w:lineRule="auto"/>
        <w:jc w:val="both"/>
        <w:sectPr>
          <w:pgSz w:w="11920" w:h="16860"/>
          <w:pgMar w:top="1520" w:right="380" w:bottom="280" w:left="1660" w:header="720" w:footer="720" w:gutter="0"/>
          <w:pgBorders>
            <w:top w:val="none" w:sz="0" w:space="0"/>
            <w:left w:val="none" w:sz="0" w:space="0"/>
            <w:bottom w:val="none" w:sz="0" w:space="0"/>
            <w:right w:val="none" w:sz="0" w:space="0"/>
          </w:pgBorders>
          <w:cols w:space="720" w:num="1"/>
        </w:sectPr>
      </w:pPr>
    </w:p>
    <w:p>
      <w:pPr>
        <w:pStyle w:val="5"/>
        <w:spacing w:before="39" w:line="326" w:lineRule="auto"/>
        <w:ind w:left="140" w:right="1734" w:firstLine="640"/>
        <w:jc w:val="both"/>
      </w:pPr>
      <w:r>
        <w:t>二是积极引进或考录优秀专业人才，强化专业技术人员岗位技能培训；不断探索工作新方式，激励激发干部职工潜力，全力保障各项工作顺利开展。</w:t>
      </w:r>
    </w:p>
    <w:p>
      <w:pPr>
        <w:spacing w:before="115"/>
        <w:ind w:left="912" w:right="0" w:firstLine="0"/>
        <w:jc w:val="left"/>
        <w:rPr>
          <w:rFonts w:hint="eastAsia" w:ascii="黑体" w:eastAsia="黑体"/>
          <w:sz w:val="31"/>
        </w:rPr>
      </w:pPr>
      <w:bookmarkStart w:id="3" w:name="（四）2023年重点工作"/>
      <w:bookmarkEnd w:id="3"/>
      <w:r>
        <w:rPr>
          <w:rFonts w:hint="eastAsia" w:ascii="黑体" w:eastAsia="黑体"/>
          <w:sz w:val="31"/>
        </w:rPr>
        <w:t>（四）2023年重点工作</w:t>
      </w:r>
    </w:p>
    <w:p>
      <w:pPr>
        <w:pStyle w:val="5"/>
        <w:spacing w:before="155" w:line="328" w:lineRule="auto"/>
        <w:ind w:left="140" w:right="1734" w:firstLine="640"/>
        <w:jc w:val="both"/>
      </w:pPr>
      <w:r>
        <w:t>一是全面加强党的建设和队伍建设，抓好党风廉政教育，做好民族团结、统一战线、意识形态、安全生产（网络安全）、疫情防控等工作；</w:t>
      </w:r>
    </w:p>
    <w:p>
      <w:pPr>
        <w:pStyle w:val="5"/>
        <w:spacing w:line="326" w:lineRule="auto"/>
        <w:ind w:left="140" w:right="1734" w:firstLine="640"/>
      </w:pPr>
      <w:r>
        <w:t>二是继续扎实推进“厕所革命”，做好年度户厕问题整改及相关宣传培训工作；</w:t>
      </w:r>
    </w:p>
    <w:p>
      <w:pPr>
        <w:pStyle w:val="5"/>
        <w:spacing w:line="326" w:lineRule="auto"/>
        <w:ind w:left="140" w:right="1734" w:firstLine="640"/>
      </w:pPr>
      <w:r>
        <w:t>三是持续开展农村牧区村庄清洁行动，全力参与推进农村牧区人居环境整治提升工作；</w:t>
      </w:r>
    </w:p>
    <w:p>
      <w:pPr>
        <w:pStyle w:val="5"/>
        <w:spacing w:before="3"/>
        <w:ind w:left="780"/>
      </w:pPr>
      <w:r>
        <w:t>四是督促指导农村牧区固定观察点相关工作；</w:t>
      </w:r>
    </w:p>
    <w:p>
      <w:pPr>
        <w:pStyle w:val="5"/>
        <w:spacing w:before="152" w:line="326" w:lineRule="auto"/>
        <w:ind w:left="780" w:right="1734"/>
      </w:pPr>
      <w:r>
        <w:t>五是持续开展卫生旱厕“菌包”试验示范推广工作； 六是选派精兵强将参与局机关相关业务，全力配合农</w:t>
      </w:r>
    </w:p>
    <w:p>
      <w:pPr>
        <w:pStyle w:val="5"/>
        <w:spacing w:before="3" w:line="328" w:lineRule="auto"/>
        <w:ind w:left="140" w:right="1734"/>
      </w:pPr>
      <w:r>
        <w:t>牧办、社会事业促进、产业发展、市场信息等相关科室的工作。</w:t>
      </w:r>
    </w:p>
    <w:p>
      <w:pPr>
        <w:pStyle w:val="2"/>
        <w:tabs>
          <w:tab w:val="left" w:pos="2945"/>
        </w:tabs>
        <w:spacing w:before="236"/>
        <w:ind w:left="1220"/>
      </w:pPr>
      <w:bookmarkStart w:id="4" w:name="第二部分  2022年度单位决算情况说明"/>
      <w:bookmarkEnd w:id="4"/>
      <w:r>
        <w:t>第二部分</w:t>
      </w:r>
      <w:r>
        <w:tab/>
      </w:r>
      <w:r>
        <w:t>2022</w:t>
      </w:r>
      <w:r>
        <w:rPr>
          <w:spacing w:val="-94"/>
        </w:rPr>
        <w:t xml:space="preserve"> </w:t>
      </w:r>
      <w:r>
        <w:t>年度单位决算情况说明</w:t>
      </w:r>
    </w:p>
    <w:p>
      <w:pPr>
        <w:pStyle w:val="5"/>
        <w:spacing w:before="11"/>
        <w:rPr>
          <w:rFonts w:ascii="黑体"/>
          <w:b/>
        </w:rPr>
      </w:pPr>
    </w:p>
    <w:p>
      <w:pPr>
        <w:pStyle w:val="3"/>
      </w:pPr>
      <w:r>
        <w:t>一、收入支出决算总体情况说明</w:t>
      </w:r>
    </w:p>
    <w:p>
      <w:pPr>
        <w:pStyle w:val="5"/>
        <w:spacing w:before="7"/>
        <w:rPr>
          <w:rFonts w:ascii="黑体"/>
          <w:b/>
          <w:sz w:val="33"/>
        </w:rPr>
      </w:pPr>
    </w:p>
    <w:p>
      <w:pPr>
        <w:pStyle w:val="5"/>
        <w:ind w:right="1419"/>
        <w:jc w:val="right"/>
      </w:pPr>
      <w:r>
        <w:rPr>
          <w:spacing w:val="1"/>
        </w:rPr>
        <w:t xml:space="preserve">锡林郭勒盟农村牧区社会事业发展中心单位 </w:t>
      </w:r>
      <w:r>
        <w:rPr>
          <w:rFonts w:hint="eastAsia" w:ascii="宋体" w:eastAsia="宋体"/>
        </w:rPr>
        <w:t>2022</w:t>
      </w:r>
      <w:r>
        <w:rPr>
          <w:rFonts w:hint="eastAsia" w:ascii="宋体" w:eastAsia="宋体"/>
          <w:spacing w:val="-84"/>
        </w:rPr>
        <w:t xml:space="preserve"> </w:t>
      </w:r>
      <w:r>
        <w:rPr>
          <w:spacing w:val="3"/>
        </w:rPr>
        <w:t>年度</w:t>
      </w:r>
    </w:p>
    <w:p>
      <w:pPr>
        <w:pStyle w:val="5"/>
        <w:spacing w:before="149"/>
        <w:ind w:right="1419"/>
        <w:jc w:val="right"/>
      </w:pPr>
      <w:r>
        <w:t xml:space="preserve">收入、支出决算总计 </w:t>
      </w:r>
      <w:r>
        <w:rPr>
          <w:rFonts w:ascii="Times New Roman" w:eastAsia="Times New Roman"/>
          <w:u w:val="single"/>
        </w:rPr>
        <w:t>269.51</w:t>
      </w:r>
      <w:r>
        <w:rPr>
          <w:rFonts w:ascii="Times New Roman" w:eastAsia="Times New Roman"/>
          <w:spacing w:val="-16"/>
        </w:rPr>
        <w:t xml:space="preserve"> </w:t>
      </w:r>
      <w:r>
        <w:rPr>
          <w:spacing w:val="11"/>
        </w:rPr>
        <w:t>万元。与年初预算相比，收、</w:t>
      </w:r>
    </w:p>
    <w:p>
      <w:pPr>
        <w:pStyle w:val="5"/>
        <w:spacing w:before="150"/>
        <w:ind w:right="1418"/>
        <w:jc w:val="right"/>
        <w:rPr>
          <w:rFonts w:hint="eastAsia" w:ascii="宋体" w:eastAsia="宋体"/>
        </w:rPr>
      </w:pPr>
      <w:r>
        <w:rPr>
          <w:spacing w:val="-12"/>
        </w:rPr>
        <w:t xml:space="preserve">支总计各增加 </w:t>
      </w:r>
      <w:r>
        <w:rPr>
          <w:rFonts w:ascii="Times New Roman" w:eastAsia="Times New Roman"/>
          <w:u w:val="single"/>
        </w:rPr>
        <w:t>29.92</w:t>
      </w:r>
      <w:r>
        <w:rPr>
          <w:rFonts w:ascii="Times New Roman" w:eastAsia="Times New Roman"/>
          <w:spacing w:val="-19"/>
        </w:rPr>
        <w:t xml:space="preserve"> </w:t>
      </w:r>
      <w:r>
        <w:rPr>
          <w:spacing w:val="-14"/>
        </w:rPr>
        <w:t xml:space="preserve">万元，增长 </w:t>
      </w:r>
      <w:r>
        <w:rPr>
          <w:rFonts w:ascii="Times New Roman" w:eastAsia="Times New Roman"/>
          <w:u w:val="single"/>
        </w:rPr>
        <w:t>12.49</w:t>
      </w:r>
      <w:r>
        <w:rPr>
          <w:rFonts w:hint="eastAsia" w:ascii="宋体" w:eastAsia="宋体"/>
        </w:rPr>
        <w:t>%</w:t>
      </w:r>
      <w:r>
        <w:rPr>
          <w:spacing w:val="-10"/>
        </w:rPr>
        <w:t xml:space="preserve">，变动原因：比 </w:t>
      </w:r>
      <w:r>
        <w:rPr>
          <w:rFonts w:hint="eastAsia" w:ascii="宋体" w:eastAsia="宋体"/>
        </w:rPr>
        <w:t>2021</w:t>
      </w:r>
    </w:p>
    <w:p>
      <w:pPr>
        <w:pStyle w:val="5"/>
        <w:spacing w:before="151"/>
        <w:ind w:right="1419"/>
        <w:jc w:val="right"/>
      </w:pPr>
      <w:r>
        <w:rPr>
          <w:spacing w:val="-22"/>
        </w:rPr>
        <w:t xml:space="preserve">年多 </w:t>
      </w:r>
      <w:r>
        <w:rPr>
          <w:rFonts w:hint="eastAsia" w:ascii="宋体" w:eastAsia="宋体"/>
        </w:rPr>
        <w:t>8</w:t>
      </w:r>
      <w:r>
        <w:rPr>
          <w:rFonts w:hint="eastAsia" w:ascii="宋体" w:eastAsia="宋体"/>
          <w:spacing w:val="-80"/>
        </w:rPr>
        <w:t xml:space="preserve"> </w:t>
      </w:r>
      <w:r>
        <w:rPr>
          <w:spacing w:val="11"/>
        </w:rPr>
        <w:t>个月人员工资及各项保险费用和自治区拨入固定观</w:t>
      </w:r>
    </w:p>
    <w:p>
      <w:pPr>
        <w:spacing w:after="0"/>
        <w:jc w:val="right"/>
        <w:sectPr>
          <w:pgSz w:w="11920" w:h="16860"/>
          <w:pgMar w:top="1520" w:right="380" w:bottom="280" w:left="1660" w:header="720" w:footer="720" w:gutter="0"/>
          <w:pgBorders>
            <w:top w:val="none" w:sz="0" w:space="0"/>
            <w:left w:val="none" w:sz="0" w:space="0"/>
            <w:bottom w:val="none" w:sz="0" w:space="0"/>
            <w:right w:val="none" w:sz="0" w:space="0"/>
          </w:pgBorders>
          <w:cols w:space="720" w:num="1"/>
        </w:sectPr>
      </w:pPr>
    </w:p>
    <w:p>
      <w:pPr>
        <w:pStyle w:val="5"/>
        <w:spacing w:before="39" w:line="326" w:lineRule="auto"/>
        <w:ind w:left="140" w:right="1419"/>
        <w:jc w:val="both"/>
      </w:pPr>
      <w:r>
        <w:t xml:space="preserve">察点经费；与上年决算相比，收、支总计各增加 </w:t>
      </w:r>
      <w:r>
        <w:rPr>
          <w:rFonts w:ascii="Times New Roman" w:eastAsia="Times New Roman"/>
          <w:u w:val="single"/>
        </w:rPr>
        <w:t>170.21</w:t>
      </w:r>
      <w:r>
        <w:rPr>
          <w:rFonts w:ascii="Times New Roman" w:eastAsia="Times New Roman"/>
        </w:rPr>
        <w:t xml:space="preserve"> </w:t>
      </w:r>
      <w:r>
        <w:t xml:space="preserve">万元，增长 </w:t>
      </w:r>
      <w:r>
        <w:rPr>
          <w:rFonts w:ascii="Times New Roman" w:eastAsia="Times New Roman"/>
          <w:u w:val="single"/>
        </w:rPr>
        <w:t>171.40</w:t>
      </w:r>
      <w:r>
        <w:rPr>
          <w:rFonts w:hint="eastAsia" w:ascii="宋体" w:eastAsia="宋体"/>
        </w:rPr>
        <w:t>%</w:t>
      </w:r>
      <w:r>
        <w:t>。其中：</w:t>
      </w:r>
    </w:p>
    <w:p>
      <w:pPr>
        <w:spacing w:before="284"/>
        <w:ind w:left="783" w:right="0" w:firstLine="0"/>
        <w:jc w:val="both"/>
        <w:rPr>
          <w:rFonts w:hint="eastAsia" w:ascii="楷体" w:eastAsia="楷体"/>
          <w:b/>
          <w:sz w:val="32"/>
        </w:rPr>
      </w:pPr>
      <w:r>
        <w:rPr>
          <w:rFonts w:hint="eastAsia" w:ascii="楷体" w:eastAsia="楷体"/>
          <w:b/>
          <w:sz w:val="32"/>
        </w:rPr>
        <w:t xml:space="preserve">（一）收入决算总计 </w:t>
      </w:r>
      <w:r>
        <w:rPr>
          <w:rFonts w:ascii="Times New Roman" w:eastAsia="Times New Roman"/>
          <w:sz w:val="32"/>
          <w:u w:val="single"/>
        </w:rPr>
        <w:t>269.51</w:t>
      </w:r>
      <w:r>
        <w:rPr>
          <w:rFonts w:ascii="Times New Roman" w:eastAsia="Times New Roman"/>
          <w:sz w:val="32"/>
        </w:rPr>
        <w:t xml:space="preserve"> </w:t>
      </w:r>
      <w:r>
        <w:rPr>
          <w:rFonts w:hint="eastAsia" w:ascii="楷体" w:eastAsia="楷体"/>
          <w:b/>
          <w:sz w:val="32"/>
        </w:rPr>
        <w:t>万元。包括：</w:t>
      </w:r>
    </w:p>
    <w:p>
      <w:pPr>
        <w:pStyle w:val="5"/>
        <w:spacing w:before="6"/>
        <w:rPr>
          <w:rFonts w:ascii="楷体"/>
          <w:b/>
          <w:sz w:val="33"/>
        </w:rPr>
      </w:pPr>
    </w:p>
    <w:p>
      <w:pPr>
        <w:pStyle w:val="11"/>
        <w:numPr>
          <w:ilvl w:val="2"/>
          <w:numId w:val="2"/>
        </w:numPr>
        <w:tabs>
          <w:tab w:val="left" w:pos="1023"/>
        </w:tabs>
        <w:spacing w:before="1" w:after="0" w:line="240" w:lineRule="auto"/>
        <w:ind w:left="1022" w:right="0" w:hanging="243"/>
        <w:jc w:val="both"/>
        <w:rPr>
          <w:sz w:val="32"/>
        </w:rPr>
      </w:pPr>
      <w:r>
        <w:rPr>
          <w:spacing w:val="-10"/>
          <w:sz w:val="32"/>
        </w:rPr>
        <w:t xml:space="preserve">本年收入决算合计 </w:t>
      </w:r>
      <w:r>
        <w:rPr>
          <w:rFonts w:ascii="Times New Roman" w:eastAsia="Times New Roman"/>
          <w:sz w:val="32"/>
          <w:u w:val="single"/>
        </w:rPr>
        <w:t>269.44</w:t>
      </w:r>
      <w:r>
        <w:rPr>
          <w:rFonts w:ascii="Times New Roman" w:eastAsia="Times New Roman"/>
          <w:spacing w:val="-14"/>
          <w:sz w:val="32"/>
        </w:rPr>
        <w:t xml:space="preserve"> </w:t>
      </w:r>
      <w:r>
        <w:rPr>
          <w:sz w:val="32"/>
        </w:rPr>
        <w:t>万元。与上年决算相比，增</w:t>
      </w:r>
    </w:p>
    <w:p>
      <w:pPr>
        <w:pStyle w:val="5"/>
        <w:spacing w:before="149" w:line="328" w:lineRule="auto"/>
        <w:ind w:left="140" w:right="1418"/>
        <w:jc w:val="both"/>
      </w:pPr>
      <w:r>
        <w:rPr>
          <w:spacing w:val="-33"/>
        </w:rPr>
        <w:t xml:space="preserve">加 </w:t>
      </w:r>
      <w:r>
        <w:rPr>
          <w:rFonts w:ascii="Times New Roman" w:eastAsia="Times New Roman"/>
          <w:u w:val="single"/>
        </w:rPr>
        <w:t>170.14</w:t>
      </w:r>
      <w:r>
        <w:rPr>
          <w:rFonts w:ascii="Times New Roman" w:eastAsia="Times New Roman"/>
          <w:spacing w:val="-2"/>
        </w:rPr>
        <w:t xml:space="preserve"> </w:t>
      </w:r>
      <w:r>
        <w:rPr>
          <w:spacing w:val="1"/>
        </w:rPr>
        <w:t xml:space="preserve">万元，增长 </w:t>
      </w:r>
      <w:r>
        <w:rPr>
          <w:rFonts w:ascii="Times New Roman" w:eastAsia="Times New Roman"/>
          <w:spacing w:val="5"/>
          <w:u w:val="single"/>
        </w:rPr>
        <w:t>171.33</w:t>
      </w:r>
      <w:r>
        <w:rPr>
          <w:rFonts w:hint="eastAsia" w:ascii="宋体" w:eastAsia="宋体"/>
          <w:spacing w:val="5"/>
        </w:rPr>
        <w:t>%</w:t>
      </w:r>
      <w:r>
        <w:rPr>
          <w:spacing w:val="2"/>
        </w:rPr>
        <w:t xml:space="preserve">，变动原因：比 </w:t>
      </w:r>
      <w:r>
        <w:rPr>
          <w:rFonts w:hint="eastAsia" w:ascii="宋体" w:eastAsia="宋体"/>
        </w:rPr>
        <w:t>2021</w:t>
      </w:r>
      <w:r>
        <w:rPr>
          <w:rFonts w:hint="eastAsia" w:ascii="宋体" w:eastAsia="宋体"/>
          <w:spacing w:val="-67"/>
        </w:rPr>
        <w:t xml:space="preserve"> </w:t>
      </w:r>
      <w:r>
        <w:rPr>
          <w:spacing w:val="-16"/>
        </w:rPr>
        <w:t xml:space="preserve">年多 </w:t>
      </w:r>
      <w:r>
        <w:rPr>
          <w:rFonts w:hint="eastAsia" w:ascii="宋体" w:eastAsia="宋体"/>
        </w:rPr>
        <w:t xml:space="preserve">8 </w:t>
      </w:r>
      <w:r>
        <w:rPr>
          <w:spacing w:val="11"/>
          <w:w w:val="95"/>
        </w:rPr>
        <w:t xml:space="preserve">个月人员工资及各项保险费用和自治区拨入固定观察点经 </w:t>
      </w:r>
      <w:r>
        <w:rPr>
          <w:spacing w:val="11"/>
        </w:rPr>
        <w:t>费。</w:t>
      </w:r>
    </w:p>
    <w:p>
      <w:pPr>
        <w:pStyle w:val="11"/>
        <w:numPr>
          <w:ilvl w:val="2"/>
          <w:numId w:val="2"/>
        </w:numPr>
        <w:tabs>
          <w:tab w:val="left" w:pos="1052"/>
        </w:tabs>
        <w:spacing w:before="254" w:after="0" w:line="364" w:lineRule="auto"/>
        <w:ind w:left="173" w:right="1474" w:firstLine="636"/>
        <w:jc w:val="both"/>
        <w:rPr>
          <w:sz w:val="32"/>
        </w:rPr>
      </w:pPr>
      <w:r>
        <w:rPr>
          <w:spacing w:val="-9"/>
          <w:sz w:val="32"/>
        </w:rPr>
        <w:t xml:space="preserve">使用非财政拨款结余 </w:t>
      </w:r>
      <w:r>
        <w:rPr>
          <w:rFonts w:ascii="Times New Roman" w:eastAsia="Times New Roman"/>
          <w:sz w:val="32"/>
          <w:u w:val="single"/>
        </w:rPr>
        <w:t>0.00</w:t>
      </w:r>
      <w:r>
        <w:rPr>
          <w:rFonts w:ascii="Times New Roman" w:eastAsia="Times New Roman"/>
          <w:spacing w:val="-19"/>
          <w:sz w:val="32"/>
        </w:rPr>
        <w:t xml:space="preserve"> </w:t>
      </w:r>
      <w:r>
        <w:rPr>
          <w:sz w:val="32"/>
        </w:rPr>
        <w:t xml:space="preserve">万元。与上年决算相比， </w:t>
      </w:r>
      <w:r>
        <w:rPr>
          <w:spacing w:val="-28"/>
          <w:sz w:val="32"/>
        </w:rPr>
        <w:t xml:space="preserve">增加 </w:t>
      </w:r>
      <w:r>
        <w:rPr>
          <w:rFonts w:ascii="Times New Roman" w:eastAsia="Times New Roman"/>
          <w:sz w:val="32"/>
          <w:u w:val="single"/>
        </w:rPr>
        <w:t>0.00</w:t>
      </w:r>
      <w:r>
        <w:rPr>
          <w:rFonts w:ascii="Times New Roman" w:eastAsia="Times New Roman"/>
          <w:spacing w:val="-21"/>
          <w:sz w:val="32"/>
        </w:rPr>
        <w:t xml:space="preserve"> </w:t>
      </w:r>
      <w:r>
        <w:rPr>
          <w:spacing w:val="-14"/>
          <w:sz w:val="32"/>
        </w:rPr>
        <w:t xml:space="preserve">万元，增长 </w:t>
      </w:r>
      <w:r>
        <w:rPr>
          <w:rFonts w:ascii="Times New Roman" w:eastAsia="Times New Roman"/>
          <w:sz w:val="32"/>
          <w:u w:val="single"/>
        </w:rPr>
        <w:t>0.00</w:t>
      </w:r>
      <w:r>
        <w:rPr>
          <w:rFonts w:hint="eastAsia" w:ascii="宋体" w:eastAsia="宋体"/>
          <w:sz w:val="32"/>
        </w:rPr>
        <w:t>%</w:t>
      </w:r>
      <w:r>
        <w:rPr>
          <w:sz w:val="32"/>
        </w:rPr>
        <w:t>，变动原因：不存在此项内容。</w:t>
      </w:r>
    </w:p>
    <w:p>
      <w:pPr>
        <w:pStyle w:val="11"/>
        <w:numPr>
          <w:ilvl w:val="2"/>
          <w:numId w:val="2"/>
        </w:numPr>
        <w:tabs>
          <w:tab w:val="left" w:pos="1036"/>
        </w:tabs>
        <w:spacing w:before="304" w:after="0" w:line="240" w:lineRule="auto"/>
        <w:ind w:left="1035" w:right="0" w:hanging="256"/>
        <w:jc w:val="both"/>
        <w:rPr>
          <w:sz w:val="32"/>
        </w:rPr>
      </w:pPr>
      <w:r>
        <w:rPr>
          <w:spacing w:val="3"/>
          <w:sz w:val="32"/>
        </w:rPr>
        <w:t xml:space="preserve">年初结转和结余 </w:t>
      </w:r>
      <w:r>
        <w:rPr>
          <w:rFonts w:ascii="Times New Roman" w:eastAsia="Times New Roman"/>
          <w:sz w:val="32"/>
          <w:u w:val="single"/>
        </w:rPr>
        <w:t>0.07</w:t>
      </w:r>
      <w:r>
        <w:rPr>
          <w:rFonts w:ascii="Times New Roman" w:eastAsia="Times New Roman"/>
          <w:spacing w:val="-3"/>
          <w:sz w:val="32"/>
        </w:rPr>
        <w:t xml:space="preserve"> </w:t>
      </w:r>
      <w:r>
        <w:rPr>
          <w:spacing w:val="14"/>
          <w:sz w:val="32"/>
        </w:rPr>
        <w:t>万元。与上年决算相比，增加</w:t>
      </w:r>
    </w:p>
    <w:p>
      <w:pPr>
        <w:pStyle w:val="11"/>
        <w:numPr>
          <w:ilvl w:val="1"/>
          <w:numId w:val="3"/>
        </w:numPr>
        <w:tabs>
          <w:tab w:val="left" w:pos="772"/>
        </w:tabs>
        <w:spacing w:before="149" w:after="0" w:line="326" w:lineRule="auto"/>
        <w:ind w:left="140" w:right="1419" w:firstLine="0"/>
        <w:jc w:val="both"/>
        <w:rPr>
          <w:sz w:val="32"/>
        </w:rPr>
      </w:pPr>
      <w:r>
        <w:rPr>
          <w:spacing w:val="-7"/>
          <w:sz w:val="32"/>
        </w:rPr>
        <w:t xml:space="preserve">万元，增长 </w:t>
      </w:r>
      <w:r>
        <w:rPr>
          <w:rFonts w:ascii="Times New Roman" w:eastAsia="Times New Roman"/>
          <w:spacing w:val="3"/>
          <w:sz w:val="32"/>
          <w:u w:val="single"/>
        </w:rPr>
        <w:t>0.00</w:t>
      </w:r>
      <w:r>
        <w:rPr>
          <w:rFonts w:hint="eastAsia" w:ascii="宋体" w:eastAsia="宋体"/>
          <w:spacing w:val="3"/>
          <w:sz w:val="32"/>
        </w:rPr>
        <w:t>%</w:t>
      </w:r>
      <w:r>
        <w:rPr>
          <w:spacing w:val="-3"/>
          <w:sz w:val="32"/>
        </w:rPr>
        <w:t xml:space="preserve">，变动原因：为代扣 </w:t>
      </w:r>
      <w:r>
        <w:rPr>
          <w:rFonts w:hint="eastAsia" w:ascii="宋体" w:eastAsia="宋体"/>
          <w:sz w:val="32"/>
        </w:rPr>
        <w:t>2021</w:t>
      </w:r>
      <w:r>
        <w:rPr>
          <w:rFonts w:hint="eastAsia" w:ascii="宋体" w:eastAsia="宋体"/>
          <w:spacing w:val="-74"/>
          <w:sz w:val="32"/>
        </w:rPr>
        <w:t xml:space="preserve"> </w:t>
      </w:r>
      <w:r>
        <w:rPr>
          <w:spacing w:val="-38"/>
          <w:sz w:val="32"/>
        </w:rPr>
        <w:t xml:space="preserve">年 </w:t>
      </w:r>
      <w:r>
        <w:rPr>
          <w:rFonts w:hint="eastAsia" w:ascii="宋体" w:eastAsia="宋体"/>
          <w:sz w:val="32"/>
        </w:rPr>
        <w:t>12</w:t>
      </w:r>
      <w:r>
        <w:rPr>
          <w:rFonts w:hint="eastAsia" w:ascii="宋体" w:eastAsia="宋体"/>
          <w:spacing w:val="-77"/>
          <w:sz w:val="32"/>
        </w:rPr>
        <w:t xml:space="preserve"> </w:t>
      </w:r>
      <w:r>
        <w:rPr>
          <w:spacing w:val="4"/>
          <w:sz w:val="32"/>
        </w:rPr>
        <w:t>月个人所得税。</w:t>
      </w:r>
    </w:p>
    <w:p>
      <w:pPr>
        <w:spacing w:before="284"/>
        <w:ind w:left="783" w:right="0" w:firstLine="0"/>
        <w:jc w:val="both"/>
        <w:rPr>
          <w:rFonts w:hint="eastAsia" w:ascii="楷体" w:eastAsia="楷体"/>
          <w:b/>
          <w:sz w:val="32"/>
        </w:rPr>
      </w:pPr>
      <w:r>
        <w:rPr>
          <w:rFonts w:hint="eastAsia" w:ascii="楷体" w:eastAsia="楷体"/>
          <w:b/>
          <w:sz w:val="32"/>
        </w:rPr>
        <w:t xml:space="preserve">（二）支出决算总计 </w:t>
      </w:r>
      <w:r>
        <w:rPr>
          <w:rFonts w:ascii="Times New Roman" w:eastAsia="Times New Roman"/>
          <w:sz w:val="32"/>
          <w:u w:val="single"/>
        </w:rPr>
        <w:t>269.51</w:t>
      </w:r>
      <w:r>
        <w:rPr>
          <w:rFonts w:ascii="Times New Roman" w:eastAsia="Times New Roman"/>
          <w:sz w:val="32"/>
        </w:rPr>
        <w:t xml:space="preserve"> </w:t>
      </w:r>
      <w:r>
        <w:rPr>
          <w:rFonts w:hint="eastAsia" w:ascii="楷体" w:eastAsia="楷体"/>
          <w:b/>
          <w:sz w:val="32"/>
        </w:rPr>
        <w:t>万元。包括：</w:t>
      </w:r>
    </w:p>
    <w:p>
      <w:pPr>
        <w:pStyle w:val="5"/>
        <w:spacing w:before="7"/>
        <w:rPr>
          <w:rFonts w:ascii="楷体"/>
          <w:b/>
          <w:sz w:val="33"/>
        </w:rPr>
      </w:pPr>
    </w:p>
    <w:p>
      <w:pPr>
        <w:pStyle w:val="11"/>
        <w:numPr>
          <w:ilvl w:val="2"/>
          <w:numId w:val="3"/>
        </w:numPr>
        <w:tabs>
          <w:tab w:val="left" w:pos="242"/>
        </w:tabs>
        <w:spacing w:before="0" w:after="0" w:line="240" w:lineRule="auto"/>
        <w:ind w:left="1022" w:right="1419" w:hanging="1023"/>
        <w:jc w:val="right"/>
        <w:rPr>
          <w:sz w:val="32"/>
        </w:rPr>
      </w:pPr>
      <w:r>
        <w:rPr>
          <w:spacing w:val="-10"/>
          <w:sz w:val="32"/>
        </w:rPr>
        <w:t xml:space="preserve">本年支出决算合计 </w:t>
      </w:r>
      <w:r>
        <w:rPr>
          <w:rFonts w:ascii="Times New Roman" w:eastAsia="Times New Roman"/>
          <w:sz w:val="32"/>
          <w:u w:val="single"/>
        </w:rPr>
        <w:t>268.52</w:t>
      </w:r>
      <w:r>
        <w:rPr>
          <w:rFonts w:ascii="Times New Roman" w:eastAsia="Times New Roman"/>
          <w:spacing w:val="-15"/>
          <w:sz w:val="32"/>
        </w:rPr>
        <w:t xml:space="preserve"> </w:t>
      </w:r>
      <w:r>
        <w:rPr>
          <w:sz w:val="32"/>
        </w:rPr>
        <w:t>万元。与上年决算相比，增</w:t>
      </w:r>
    </w:p>
    <w:p>
      <w:pPr>
        <w:pStyle w:val="5"/>
        <w:spacing w:before="152"/>
        <w:ind w:right="1418"/>
        <w:jc w:val="right"/>
        <w:rPr>
          <w:rFonts w:hint="eastAsia" w:ascii="宋体" w:eastAsia="宋体"/>
        </w:rPr>
      </w:pPr>
      <w:r>
        <w:rPr>
          <w:spacing w:val="-33"/>
        </w:rPr>
        <w:t xml:space="preserve">加 </w:t>
      </w:r>
      <w:r>
        <w:rPr>
          <w:rFonts w:ascii="Times New Roman" w:eastAsia="Times New Roman"/>
          <w:u w:val="single"/>
        </w:rPr>
        <w:t>169.29</w:t>
      </w:r>
      <w:r>
        <w:rPr>
          <w:rFonts w:ascii="Times New Roman" w:eastAsia="Times New Roman"/>
          <w:spacing w:val="-2"/>
        </w:rPr>
        <w:t xml:space="preserve"> </w:t>
      </w:r>
      <w:r>
        <w:rPr>
          <w:spacing w:val="1"/>
        </w:rPr>
        <w:t xml:space="preserve">万元，增长 </w:t>
      </w:r>
      <w:r>
        <w:rPr>
          <w:rFonts w:ascii="Times New Roman" w:eastAsia="Times New Roman"/>
          <w:spacing w:val="5"/>
          <w:u w:val="single"/>
        </w:rPr>
        <w:t>170.60</w:t>
      </w:r>
      <w:r>
        <w:rPr>
          <w:rFonts w:hint="eastAsia" w:ascii="宋体" w:eastAsia="宋体"/>
          <w:spacing w:val="5"/>
        </w:rPr>
        <w:t>%</w:t>
      </w:r>
      <w:r>
        <w:rPr>
          <w:spacing w:val="2"/>
        </w:rPr>
        <w:t xml:space="preserve">，变动原因：比 </w:t>
      </w:r>
      <w:r>
        <w:rPr>
          <w:rFonts w:hint="eastAsia" w:ascii="宋体" w:eastAsia="宋体"/>
        </w:rPr>
        <w:t>2021</w:t>
      </w:r>
      <w:r>
        <w:rPr>
          <w:rFonts w:hint="eastAsia" w:ascii="宋体" w:eastAsia="宋体"/>
          <w:spacing w:val="-67"/>
        </w:rPr>
        <w:t xml:space="preserve"> </w:t>
      </w:r>
      <w:r>
        <w:rPr>
          <w:spacing w:val="-16"/>
        </w:rPr>
        <w:t xml:space="preserve">年多 </w:t>
      </w:r>
      <w:r>
        <w:rPr>
          <w:rFonts w:hint="eastAsia" w:ascii="宋体" w:eastAsia="宋体"/>
        </w:rPr>
        <w:t>8</w:t>
      </w:r>
    </w:p>
    <w:p>
      <w:pPr>
        <w:pStyle w:val="5"/>
        <w:spacing w:before="149"/>
        <w:ind w:left="140"/>
      </w:pPr>
      <w:r>
        <w:t>个月人员工资及各项保险费用。</w:t>
      </w:r>
    </w:p>
    <w:p>
      <w:pPr>
        <w:pStyle w:val="5"/>
        <w:spacing w:before="7"/>
        <w:rPr>
          <w:sz w:val="33"/>
        </w:rPr>
      </w:pPr>
    </w:p>
    <w:p>
      <w:pPr>
        <w:pStyle w:val="11"/>
        <w:numPr>
          <w:ilvl w:val="2"/>
          <w:numId w:val="3"/>
        </w:numPr>
        <w:tabs>
          <w:tab w:val="left" w:pos="1033"/>
        </w:tabs>
        <w:spacing w:before="0" w:after="0" w:line="326" w:lineRule="auto"/>
        <w:ind w:left="140" w:right="1419" w:firstLine="640"/>
        <w:jc w:val="both"/>
        <w:rPr>
          <w:sz w:val="32"/>
        </w:rPr>
      </w:pPr>
      <w:r>
        <w:rPr>
          <w:spacing w:val="-7"/>
          <w:sz w:val="32"/>
        </w:rPr>
        <w:t xml:space="preserve">结余分配 </w:t>
      </w:r>
      <w:r>
        <w:rPr>
          <w:rFonts w:ascii="Times New Roman" w:eastAsia="Times New Roman"/>
          <w:sz w:val="32"/>
          <w:u w:val="single"/>
        </w:rPr>
        <w:t>0.00</w:t>
      </w:r>
      <w:r>
        <w:rPr>
          <w:rFonts w:ascii="Times New Roman" w:eastAsia="Times New Roman"/>
          <w:spacing w:val="-6"/>
          <w:sz w:val="32"/>
        </w:rPr>
        <w:t xml:space="preserve"> </w:t>
      </w:r>
      <w:r>
        <w:rPr>
          <w:spacing w:val="5"/>
          <w:sz w:val="32"/>
        </w:rPr>
        <w:t xml:space="preserve">万元。与上年决算相比，增加 </w:t>
      </w:r>
      <w:r>
        <w:rPr>
          <w:rFonts w:ascii="Times New Roman" w:eastAsia="Times New Roman"/>
          <w:sz w:val="32"/>
          <w:u w:val="single"/>
        </w:rPr>
        <w:t>0.00</w:t>
      </w:r>
      <w:r>
        <w:rPr>
          <w:rFonts w:ascii="Times New Roman" w:eastAsia="Times New Roman"/>
          <w:spacing w:val="-6"/>
          <w:sz w:val="32"/>
        </w:rPr>
        <w:t xml:space="preserve"> </w:t>
      </w:r>
      <w:r>
        <w:rPr>
          <w:sz w:val="32"/>
        </w:rPr>
        <w:t>万</w:t>
      </w:r>
      <w:r>
        <w:rPr>
          <w:spacing w:val="-16"/>
          <w:sz w:val="32"/>
        </w:rPr>
        <w:t xml:space="preserve">元，增长 </w:t>
      </w:r>
      <w:r>
        <w:rPr>
          <w:rFonts w:ascii="Times New Roman" w:eastAsia="Times New Roman"/>
          <w:sz w:val="32"/>
          <w:u w:val="single"/>
        </w:rPr>
        <w:t>0.00</w:t>
      </w:r>
      <w:r>
        <w:rPr>
          <w:rFonts w:hint="eastAsia" w:ascii="宋体" w:eastAsia="宋体"/>
          <w:sz w:val="32"/>
        </w:rPr>
        <w:t>%</w:t>
      </w:r>
      <w:r>
        <w:rPr>
          <w:sz w:val="32"/>
        </w:rPr>
        <w:t>，变动原因：不存在此项内容。</w:t>
      </w:r>
    </w:p>
    <w:p>
      <w:pPr>
        <w:pStyle w:val="11"/>
        <w:numPr>
          <w:ilvl w:val="2"/>
          <w:numId w:val="3"/>
        </w:numPr>
        <w:tabs>
          <w:tab w:val="left" w:pos="1036"/>
        </w:tabs>
        <w:spacing w:before="284" w:after="0" w:line="328" w:lineRule="auto"/>
        <w:ind w:left="140" w:right="1418" w:firstLine="640"/>
        <w:jc w:val="both"/>
        <w:rPr>
          <w:sz w:val="32"/>
        </w:rPr>
      </w:pPr>
      <w:r>
        <w:rPr>
          <w:spacing w:val="3"/>
          <w:sz w:val="32"/>
        </w:rPr>
        <w:t xml:space="preserve">年末结转和结余 </w:t>
      </w:r>
      <w:r>
        <w:rPr>
          <w:rFonts w:ascii="Times New Roman" w:eastAsia="Times New Roman"/>
          <w:sz w:val="32"/>
          <w:u w:val="single"/>
        </w:rPr>
        <w:t>0.99</w:t>
      </w:r>
      <w:r>
        <w:rPr>
          <w:rFonts w:ascii="Times New Roman" w:eastAsia="Times New Roman"/>
          <w:spacing w:val="-6"/>
          <w:sz w:val="32"/>
        </w:rPr>
        <w:t xml:space="preserve"> </w:t>
      </w:r>
      <w:r>
        <w:rPr>
          <w:spacing w:val="15"/>
          <w:sz w:val="32"/>
        </w:rPr>
        <w:t>万元。结转和结余事项：</w:t>
      </w:r>
      <w:r>
        <w:rPr>
          <w:rFonts w:hint="eastAsia" w:ascii="宋体" w:eastAsia="宋体"/>
          <w:sz w:val="32"/>
        </w:rPr>
        <w:t xml:space="preserve">2022 </w:t>
      </w:r>
      <w:r>
        <w:rPr>
          <w:spacing w:val="14"/>
          <w:sz w:val="32"/>
        </w:rPr>
        <w:t>年自治区拨入固定观察点经费。与上年决算相比， 增加</w:t>
      </w:r>
    </w:p>
    <w:p>
      <w:pPr>
        <w:spacing w:after="0" w:line="328" w:lineRule="auto"/>
        <w:jc w:val="both"/>
        <w:rPr>
          <w:sz w:val="32"/>
        </w:rPr>
        <w:sectPr>
          <w:pgSz w:w="11920" w:h="16860"/>
          <w:pgMar w:top="1520" w:right="380" w:bottom="280" w:left="1660" w:header="720" w:footer="720" w:gutter="0"/>
          <w:pgBorders>
            <w:top w:val="none" w:sz="0" w:space="0"/>
            <w:left w:val="none" w:sz="0" w:space="0"/>
            <w:bottom w:val="none" w:sz="0" w:space="0"/>
            <w:right w:val="none" w:sz="0" w:space="0"/>
          </w:pgBorders>
          <w:cols w:space="720" w:num="1"/>
        </w:sectPr>
      </w:pPr>
    </w:p>
    <w:p>
      <w:pPr>
        <w:pStyle w:val="5"/>
        <w:spacing w:before="39" w:line="326" w:lineRule="auto"/>
        <w:ind w:left="140" w:right="1419"/>
      </w:pPr>
      <w:r>
        <w:rPr>
          <w:rFonts w:ascii="Times New Roman" w:eastAsia="Times New Roman"/>
          <w:u w:val="single"/>
        </w:rPr>
        <w:t>0.92</w:t>
      </w:r>
      <w:r>
        <w:rPr>
          <w:rFonts w:ascii="Times New Roman" w:eastAsia="Times New Roman"/>
        </w:rPr>
        <w:t xml:space="preserve"> </w:t>
      </w:r>
      <w:r>
        <w:rPr>
          <w:spacing w:val="-10"/>
        </w:rPr>
        <w:t xml:space="preserve">万元，增长 </w:t>
      </w:r>
      <w:r>
        <w:rPr>
          <w:rFonts w:ascii="Times New Roman" w:eastAsia="Times New Roman"/>
          <w:u w:val="single"/>
        </w:rPr>
        <w:t>1,304.71</w:t>
      </w:r>
      <w:r>
        <w:rPr>
          <w:rFonts w:hint="eastAsia" w:ascii="宋体" w:eastAsia="宋体"/>
        </w:rPr>
        <w:t>%</w:t>
      </w:r>
      <w:r>
        <w:rPr>
          <w:spacing w:val="-5"/>
        </w:rPr>
        <w:t xml:space="preserve">，变动原因：自治区拨入 </w:t>
      </w:r>
      <w:r>
        <w:rPr>
          <w:rFonts w:hint="eastAsia" w:ascii="宋体" w:eastAsia="宋体"/>
        </w:rPr>
        <w:t>2022</w:t>
      </w:r>
      <w:r>
        <w:rPr>
          <w:rFonts w:hint="eastAsia" w:ascii="宋体" w:eastAsia="宋体"/>
          <w:spacing w:val="-78"/>
        </w:rPr>
        <w:t xml:space="preserve"> </w:t>
      </w:r>
      <w:r>
        <w:t>年</w:t>
      </w:r>
      <w:r>
        <w:rPr>
          <w:spacing w:val="-10"/>
        </w:rPr>
        <w:t xml:space="preserve">固定观察点经费 </w:t>
      </w:r>
      <w:r>
        <w:rPr>
          <w:rFonts w:hint="eastAsia" w:ascii="宋体" w:eastAsia="宋体"/>
        </w:rPr>
        <w:t>1</w:t>
      </w:r>
      <w:r>
        <w:rPr>
          <w:rFonts w:hint="eastAsia" w:ascii="宋体" w:eastAsia="宋体"/>
          <w:spacing w:val="-80"/>
        </w:rPr>
        <w:t xml:space="preserve"> </w:t>
      </w:r>
      <w:r>
        <w:t>万元。</w:t>
      </w:r>
    </w:p>
    <w:p>
      <w:pPr>
        <w:pStyle w:val="3"/>
        <w:spacing w:before="284"/>
      </w:pPr>
      <w:r>
        <w:t>二、收入决算情况说明</w:t>
      </w:r>
    </w:p>
    <w:p>
      <w:pPr>
        <w:pStyle w:val="5"/>
        <w:spacing w:before="6"/>
        <w:rPr>
          <w:rFonts w:ascii="黑体"/>
          <w:b/>
          <w:sz w:val="33"/>
        </w:rPr>
      </w:pPr>
    </w:p>
    <w:p>
      <w:pPr>
        <w:pStyle w:val="5"/>
        <w:spacing w:before="1"/>
        <w:ind w:left="780"/>
      </w:pPr>
      <w:r>
        <w:rPr>
          <w:spacing w:val="2"/>
        </w:rPr>
        <w:t xml:space="preserve">锡林郭勒盟农村牧区社会事业发展中心单位 </w:t>
      </w:r>
      <w:r>
        <w:rPr>
          <w:rFonts w:hint="eastAsia" w:ascii="宋体" w:eastAsia="宋体"/>
        </w:rPr>
        <w:t>2022</w:t>
      </w:r>
      <w:r>
        <w:rPr>
          <w:rFonts w:hint="eastAsia" w:ascii="宋体" w:eastAsia="宋体"/>
          <w:spacing w:val="-74"/>
        </w:rPr>
        <w:t xml:space="preserve"> </w:t>
      </w:r>
      <w:r>
        <w:rPr>
          <w:spacing w:val="3"/>
        </w:rPr>
        <w:t>年度</w:t>
      </w:r>
    </w:p>
    <w:p>
      <w:pPr>
        <w:pStyle w:val="5"/>
        <w:spacing w:before="149"/>
        <w:ind w:left="140"/>
      </w:pPr>
      <w:r>
        <w:t xml:space="preserve">本年收入决算合计 </w:t>
      </w:r>
      <w:r>
        <w:rPr>
          <w:rFonts w:ascii="Times New Roman" w:eastAsia="Times New Roman"/>
          <w:u w:val="single"/>
        </w:rPr>
        <w:t>269.44</w:t>
      </w:r>
      <w:r>
        <w:rPr>
          <w:rFonts w:ascii="Times New Roman" w:eastAsia="Times New Roman"/>
        </w:rPr>
        <w:t xml:space="preserve"> </w:t>
      </w:r>
      <w:r>
        <w:t>万元，其中：</w:t>
      </w:r>
    </w:p>
    <w:p>
      <w:pPr>
        <w:pStyle w:val="5"/>
        <w:spacing w:before="7"/>
        <w:rPr>
          <w:sz w:val="33"/>
        </w:rPr>
      </w:pPr>
    </w:p>
    <w:p>
      <w:pPr>
        <w:pStyle w:val="5"/>
        <w:ind w:left="780"/>
      </w:pPr>
      <w:r>
        <w:t xml:space="preserve">本年一般公共预算财政拨款收入 </w:t>
      </w:r>
      <w:r>
        <w:rPr>
          <w:rFonts w:ascii="Times New Roman" w:eastAsia="Times New Roman"/>
          <w:u w:val="single"/>
        </w:rPr>
        <w:t>268.43</w:t>
      </w:r>
      <w:r>
        <w:rPr>
          <w:rFonts w:ascii="Times New Roman" w:eastAsia="Times New Roman"/>
        </w:rPr>
        <w:t xml:space="preserve"> </w:t>
      </w:r>
      <w:r>
        <w:t>万元， 占</w:t>
      </w:r>
    </w:p>
    <w:p>
      <w:pPr>
        <w:pStyle w:val="5"/>
        <w:spacing w:before="152"/>
        <w:ind w:left="140"/>
      </w:pPr>
      <w:r>
        <w:rPr>
          <w:rFonts w:ascii="Times New Roman" w:eastAsia="Times New Roman"/>
          <w:u w:val="single"/>
        </w:rPr>
        <w:t>99.63</w:t>
      </w:r>
      <w:r>
        <w:rPr>
          <w:rFonts w:hint="eastAsia" w:ascii="宋体" w:eastAsia="宋体"/>
        </w:rPr>
        <w:t>%</w:t>
      </w:r>
      <w:r>
        <w:t>；</w:t>
      </w:r>
    </w:p>
    <w:p>
      <w:pPr>
        <w:pStyle w:val="5"/>
        <w:spacing w:line="840" w:lineRule="atLeast"/>
        <w:ind w:left="780" w:right="1189"/>
      </w:pPr>
      <w:r>
        <w:rPr>
          <w:spacing w:val="-6"/>
        </w:rPr>
        <w:t xml:space="preserve">本年政府性基金预算财政拨款收入 </w:t>
      </w:r>
      <w:r>
        <w:rPr>
          <w:rFonts w:ascii="Times New Roman" w:eastAsia="Times New Roman"/>
          <w:u w:val="single"/>
        </w:rPr>
        <w:t>0.00</w:t>
      </w:r>
      <w:r>
        <w:rPr>
          <w:rFonts w:ascii="Times New Roman" w:eastAsia="Times New Roman"/>
        </w:rPr>
        <w:t xml:space="preserve"> </w:t>
      </w:r>
      <w:r>
        <w:rPr>
          <w:spacing w:val="-17"/>
        </w:rPr>
        <w:t xml:space="preserve">万元，占 </w:t>
      </w:r>
      <w:r>
        <w:rPr>
          <w:rFonts w:ascii="Times New Roman" w:eastAsia="Times New Roman"/>
          <w:u w:val="single"/>
        </w:rPr>
        <w:t>0.00</w:t>
      </w:r>
      <w:r>
        <w:rPr>
          <w:rFonts w:hint="eastAsia" w:ascii="宋体" w:eastAsia="宋体"/>
        </w:rPr>
        <w:t>%</w:t>
      </w:r>
      <w:r>
        <w:t xml:space="preserve">； </w:t>
      </w:r>
      <w:r>
        <w:rPr>
          <w:spacing w:val="22"/>
        </w:rPr>
        <w:t xml:space="preserve">本年国有资本经营预算财政拨款收入 </w:t>
      </w:r>
      <w:r>
        <w:rPr>
          <w:rFonts w:ascii="Times New Roman" w:eastAsia="Times New Roman"/>
          <w:u w:val="single"/>
        </w:rPr>
        <w:t>0.00</w:t>
      </w:r>
      <w:r>
        <w:rPr>
          <w:rFonts w:ascii="Times New Roman" w:eastAsia="Times New Roman"/>
        </w:rPr>
        <w:t xml:space="preserve"> </w:t>
      </w:r>
      <w:r>
        <w:rPr>
          <w:spacing w:val="-16"/>
        </w:rPr>
        <w:t>万元， 占</w:t>
      </w:r>
    </w:p>
    <w:p>
      <w:pPr>
        <w:pStyle w:val="5"/>
        <w:spacing w:before="149"/>
        <w:ind w:left="140"/>
      </w:pPr>
      <w:r>
        <w:rPr>
          <w:rFonts w:ascii="Times New Roman" w:eastAsia="Times New Roman"/>
          <w:u w:val="single"/>
        </w:rPr>
        <w:t>0.00</w:t>
      </w:r>
      <w:r>
        <w:rPr>
          <w:rFonts w:hint="eastAsia" w:ascii="宋体" w:eastAsia="宋体"/>
        </w:rPr>
        <w:t>%</w:t>
      </w:r>
      <w:r>
        <w:t>；</w:t>
      </w:r>
    </w:p>
    <w:p>
      <w:pPr>
        <w:pStyle w:val="5"/>
        <w:spacing w:before="7"/>
        <w:rPr>
          <w:sz w:val="33"/>
        </w:rPr>
      </w:pPr>
    </w:p>
    <w:p>
      <w:pPr>
        <w:pStyle w:val="5"/>
        <w:spacing w:line="491" w:lineRule="auto"/>
        <w:ind w:left="780" w:right="3430"/>
      </w:pPr>
      <w:r>
        <w:rPr>
          <w:spacing w:val="-10"/>
        </w:rPr>
        <w:t xml:space="preserve">本年上级补助收入 </w:t>
      </w:r>
      <w:r>
        <w:rPr>
          <w:rFonts w:ascii="Times New Roman" w:eastAsia="Times New Roman"/>
          <w:u w:val="single"/>
        </w:rPr>
        <w:t>0.00</w:t>
      </w:r>
      <w:r>
        <w:rPr>
          <w:rFonts w:ascii="Times New Roman" w:eastAsia="Times New Roman"/>
          <w:spacing w:val="-19"/>
        </w:rPr>
        <w:t xml:space="preserve"> </w:t>
      </w:r>
      <w:r>
        <w:rPr>
          <w:spacing w:val="-17"/>
        </w:rPr>
        <w:t xml:space="preserve">万元，占 </w:t>
      </w:r>
      <w:r>
        <w:rPr>
          <w:rFonts w:ascii="Times New Roman" w:eastAsia="Times New Roman"/>
          <w:u w:val="single"/>
        </w:rPr>
        <w:t>0.00</w:t>
      </w:r>
      <w:r>
        <w:rPr>
          <w:rFonts w:hint="eastAsia" w:ascii="宋体" w:eastAsia="宋体"/>
        </w:rPr>
        <w:t>%</w:t>
      </w:r>
      <w:r>
        <w:t xml:space="preserve">； </w:t>
      </w:r>
      <w:r>
        <w:rPr>
          <w:spacing w:val="-12"/>
        </w:rPr>
        <w:t xml:space="preserve">本年事业收入 </w:t>
      </w:r>
      <w:r>
        <w:rPr>
          <w:rFonts w:ascii="Times New Roman" w:eastAsia="Times New Roman"/>
          <w:u w:val="single"/>
        </w:rPr>
        <w:t>0.00</w:t>
      </w:r>
      <w:r>
        <w:rPr>
          <w:rFonts w:ascii="Times New Roman" w:eastAsia="Times New Roman"/>
          <w:spacing w:val="-18"/>
        </w:rPr>
        <w:t xml:space="preserve"> </w:t>
      </w:r>
      <w:r>
        <w:rPr>
          <w:spacing w:val="-16"/>
        </w:rPr>
        <w:t xml:space="preserve">万元，占 </w:t>
      </w:r>
      <w:r>
        <w:rPr>
          <w:rFonts w:ascii="Times New Roman" w:eastAsia="Times New Roman"/>
          <w:u w:val="single"/>
        </w:rPr>
        <w:t>0.00</w:t>
      </w:r>
      <w:r>
        <w:rPr>
          <w:rFonts w:hint="eastAsia" w:ascii="宋体" w:eastAsia="宋体"/>
        </w:rPr>
        <w:t>%</w:t>
      </w:r>
      <w:r>
        <w:t>；</w:t>
      </w:r>
    </w:p>
    <w:p>
      <w:pPr>
        <w:pStyle w:val="5"/>
        <w:spacing w:line="409" w:lineRule="exact"/>
        <w:ind w:left="780"/>
      </w:pPr>
      <w:r>
        <w:rPr>
          <w:spacing w:val="-12"/>
        </w:rPr>
        <w:t xml:space="preserve">本年经营收入 </w:t>
      </w:r>
      <w:r>
        <w:rPr>
          <w:rFonts w:ascii="Times New Roman" w:eastAsia="Times New Roman"/>
          <w:u w:val="single"/>
        </w:rPr>
        <w:t>0.00</w:t>
      </w:r>
      <w:r>
        <w:rPr>
          <w:rFonts w:ascii="Times New Roman" w:eastAsia="Times New Roman"/>
          <w:spacing w:val="-20"/>
        </w:rPr>
        <w:t xml:space="preserve"> </w:t>
      </w:r>
      <w:r>
        <w:rPr>
          <w:spacing w:val="-17"/>
        </w:rPr>
        <w:t xml:space="preserve">万元，占 </w:t>
      </w:r>
      <w:r>
        <w:rPr>
          <w:rFonts w:ascii="Times New Roman" w:eastAsia="Times New Roman"/>
          <w:u w:val="single"/>
        </w:rPr>
        <w:t>0.00</w:t>
      </w:r>
      <w:r>
        <w:rPr>
          <w:rFonts w:hint="eastAsia" w:ascii="宋体" w:eastAsia="宋体"/>
        </w:rPr>
        <w:t>%</w:t>
      </w:r>
      <w:r>
        <w:t>；</w:t>
      </w:r>
    </w:p>
    <w:p>
      <w:pPr>
        <w:pStyle w:val="5"/>
        <w:spacing w:before="7"/>
        <w:rPr>
          <w:sz w:val="33"/>
        </w:rPr>
      </w:pPr>
    </w:p>
    <w:p>
      <w:pPr>
        <w:pStyle w:val="5"/>
        <w:spacing w:line="491" w:lineRule="auto"/>
        <w:ind w:left="780" w:right="2791"/>
      </w:pPr>
      <w:r>
        <w:rPr>
          <w:spacing w:val="-8"/>
        </w:rPr>
        <w:t xml:space="preserve">本年附属单位上缴收入 </w:t>
      </w:r>
      <w:r>
        <w:rPr>
          <w:rFonts w:ascii="Times New Roman" w:eastAsia="Times New Roman"/>
          <w:u w:val="single"/>
        </w:rPr>
        <w:t>0.00</w:t>
      </w:r>
      <w:r>
        <w:rPr>
          <w:rFonts w:ascii="Times New Roman" w:eastAsia="Times New Roman"/>
          <w:spacing w:val="-19"/>
        </w:rPr>
        <w:t xml:space="preserve"> </w:t>
      </w:r>
      <w:r>
        <w:rPr>
          <w:spacing w:val="-17"/>
        </w:rPr>
        <w:t xml:space="preserve">万元，占 </w:t>
      </w:r>
      <w:r>
        <w:rPr>
          <w:rFonts w:ascii="Times New Roman" w:eastAsia="Times New Roman"/>
          <w:u w:val="single"/>
        </w:rPr>
        <w:t>0.00</w:t>
      </w:r>
      <w:r>
        <w:rPr>
          <w:rFonts w:hint="eastAsia" w:ascii="宋体" w:eastAsia="宋体"/>
        </w:rPr>
        <w:t>%</w:t>
      </w:r>
      <w:r>
        <w:t xml:space="preserve">； </w:t>
      </w:r>
      <w:r>
        <w:rPr>
          <w:spacing w:val="-12"/>
        </w:rPr>
        <w:t xml:space="preserve">本年其他收入 </w:t>
      </w:r>
      <w:r>
        <w:rPr>
          <w:rFonts w:ascii="Times New Roman" w:eastAsia="Times New Roman"/>
          <w:u w:val="single"/>
        </w:rPr>
        <w:t>1.00</w:t>
      </w:r>
      <w:r>
        <w:rPr>
          <w:rFonts w:ascii="Times New Roman" w:eastAsia="Times New Roman"/>
          <w:spacing w:val="-17"/>
        </w:rPr>
        <w:t xml:space="preserve"> </w:t>
      </w:r>
      <w:r>
        <w:rPr>
          <w:spacing w:val="-16"/>
        </w:rPr>
        <w:t xml:space="preserve">万元，占 </w:t>
      </w:r>
      <w:r>
        <w:rPr>
          <w:rFonts w:ascii="Times New Roman" w:eastAsia="Times New Roman"/>
          <w:u w:val="single"/>
        </w:rPr>
        <w:t>0.37</w:t>
      </w:r>
      <w:r>
        <w:rPr>
          <w:rFonts w:hint="eastAsia" w:ascii="宋体" w:eastAsia="宋体"/>
        </w:rPr>
        <w:t>%</w:t>
      </w:r>
      <w:r>
        <w:t>。</w:t>
      </w:r>
    </w:p>
    <w:p>
      <w:pPr>
        <w:pStyle w:val="5"/>
        <w:rPr>
          <w:sz w:val="34"/>
        </w:rPr>
      </w:pPr>
    </w:p>
    <w:p>
      <w:pPr>
        <w:pStyle w:val="5"/>
        <w:rPr>
          <w:sz w:val="34"/>
        </w:rPr>
      </w:pPr>
    </w:p>
    <w:p>
      <w:pPr>
        <w:pStyle w:val="5"/>
        <w:rPr>
          <w:sz w:val="34"/>
        </w:rPr>
      </w:pPr>
    </w:p>
    <w:p>
      <w:pPr>
        <w:pStyle w:val="5"/>
        <w:spacing w:before="8"/>
        <w:rPr>
          <w:sz w:val="26"/>
        </w:rPr>
      </w:pPr>
    </w:p>
    <w:p>
      <w:pPr>
        <w:pStyle w:val="5"/>
        <w:ind w:left="3176"/>
      </w:pPr>
      <w:r>
        <w:t xml:space="preserve">图 </w:t>
      </w:r>
      <w:r>
        <w:rPr>
          <w:rFonts w:ascii="Times New Roman" w:eastAsia="Times New Roman"/>
        </w:rPr>
        <w:t>1.</w:t>
      </w:r>
      <w:r>
        <w:t>收入决算图</w:t>
      </w:r>
    </w:p>
    <w:p>
      <w:pPr>
        <w:spacing w:after="0"/>
        <w:sectPr>
          <w:pgSz w:w="11920" w:h="16860"/>
          <w:pgMar w:top="1520" w:right="380" w:bottom="280" w:left="1660" w:header="720" w:footer="720" w:gutter="0"/>
          <w:pgBorders>
            <w:top w:val="none" w:sz="0" w:space="0"/>
            <w:left w:val="none" w:sz="0" w:space="0"/>
            <w:bottom w:val="none" w:sz="0" w:space="0"/>
            <w:right w:val="none" w:sz="0" w:space="0"/>
          </w:pgBorders>
          <w:cols w:space="720" w:num="1"/>
        </w:sectPr>
      </w:pPr>
    </w:p>
    <w:p>
      <w:pPr>
        <w:pStyle w:val="5"/>
        <w:ind w:left="1203"/>
        <w:rPr>
          <w:sz w:val="20"/>
        </w:rPr>
      </w:pPr>
      <w:r>
        <w:rPr>
          <w:sz w:val="20"/>
        </w:rPr>
        <w:drawing>
          <wp:inline distT="0" distB="0" distL="0" distR="0">
            <wp:extent cx="3964940" cy="255079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3965042" cy="2551176"/>
                    </a:xfrm>
                    <a:prstGeom prst="rect">
                      <a:avLst/>
                    </a:prstGeom>
                  </pic:spPr>
                </pic:pic>
              </a:graphicData>
            </a:graphic>
          </wp:inline>
        </w:drawing>
      </w:r>
    </w:p>
    <w:p>
      <w:pPr>
        <w:pStyle w:val="5"/>
        <w:rPr>
          <w:sz w:val="20"/>
        </w:rPr>
      </w:pPr>
    </w:p>
    <w:p>
      <w:pPr>
        <w:pStyle w:val="5"/>
        <w:rPr>
          <w:sz w:val="20"/>
        </w:rPr>
      </w:pPr>
    </w:p>
    <w:p>
      <w:pPr>
        <w:pStyle w:val="5"/>
        <w:rPr>
          <w:sz w:val="20"/>
        </w:rPr>
      </w:pPr>
    </w:p>
    <w:p>
      <w:pPr>
        <w:pStyle w:val="5"/>
        <w:rPr>
          <w:sz w:val="17"/>
        </w:rPr>
      </w:pPr>
    </w:p>
    <w:p>
      <w:pPr>
        <w:pStyle w:val="3"/>
        <w:spacing w:before="54"/>
      </w:pPr>
      <w:r>
        <w:t>三、支出决算情况说明</w:t>
      </w:r>
    </w:p>
    <w:p>
      <w:pPr>
        <w:pStyle w:val="5"/>
        <w:spacing w:before="7"/>
        <w:rPr>
          <w:rFonts w:ascii="黑体"/>
          <w:b/>
          <w:sz w:val="33"/>
        </w:rPr>
      </w:pPr>
    </w:p>
    <w:p>
      <w:pPr>
        <w:pStyle w:val="5"/>
        <w:ind w:left="780"/>
      </w:pPr>
      <w:r>
        <w:rPr>
          <w:spacing w:val="2"/>
        </w:rPr>
        <w:t xml:space="preserve">锡林郭勒盟农村牧区社会事业发展中心单位 </w:t>
      </w:r>
      <w:r>
        <w:rPr>
          <w:rFonts w:hint="eastAsia" w:ascii="宋体" w:eastAsia="宋体"/>
        </w:rPr>
        <w:t>2022</w:t>
      </w:r>
      <w:r>
        <w:rPr>
          <w:rFonts w:hint="eastAsia" w:ascii="宋体" w:eastAsia="宋体"/>
          <w:spacing w:val="-74"/>
        </w:rPr>
        <w:t xml:space="preserve"> </w:t>
      </w:r>
      <w:r>
        <w:rPr>
          <w:spacing w:val="3"/>
        </w:rPr>
        <w:t>年度</w:t>
      </w:r>
    </w:p>
    <w:p>
      <w:pPr>
        <w:pStyle w:val="5"/>
        <w:spacing w:before="149"/>
        <w:ind w:left="140"/>
      </w:pPr>
      <w:r>
        <w:t xml:space="preserve">本年支出决算合计 </w:t>
      </w:r>
      <w:r>
        <w:rPr>
          <w:rFonts w:ascii="Times New Roman" w:eastAsia="Times New Roman"/>
          <w:u w:val="single"/>
        </w:rPr>
        <w:t>268.52</w:t>
      </w:r>
      <w:r>
        <w:rPr>
          <w:rFonts w:ascii="Times New Roman" w:eastAsia="Times New Roman"/>
        </w:rPr>
        <w:t xml:space="preserve"> </w:t>
      </w:r>
      <w:r>
        <w:t>万元，其中：</w:t>
      </w:r>
    </w:p>
    <w:p>
      <w:pPr>
        <w:pStyle w:val="5"/>
        <w:spacing w:before="7"/>
        <w:rPr>
          <w:sz w:val="33"/>
        </w:rPr>
      </w:pPr>
    </w:p>
    <w:p>
      <w:pPr>
        <w:pStyle w:val="5"/>
        <w:spacing w:before="1" w:line="491" w:lineRule="auto"/>
        <w:ind w:left="780" w:right="3589"/>
      </w:pPr>
      <w:r>
        <w:rPr>
          <w:spacing w:val="-13"/>
        </w:rPr>
        <w:t xml:space="preserve">本年基本支出 </w:t>
      </w:r>
      <w:r>
        <w:rPr>
          <w:rFonts w:ascii="Times New Roman" w:eastAsia="Times New Roman"/>
          <w:u w:val="single"/>
        </w:rPr>
        <w:t>251.51</w:t>
      </w:r>
      <w:r>
        <w:rPr>
          <w:rFonts w:ascii="Times New Roman" w:eastAsia="Times New Roman"/>
        </w:rPr>
        <w:t xml:space="preserve"> </w:t>
      </w:r>
      <w:r>
        <w:rPr>
          <w:spacing w:val="-17"/>
        </w:rPr>
        <w:t xml:space="preserve">万元，占 </w:t>
      </w:r>
      <w:r>
        <w:rPr>
          <w:rFonts w:ascii="Times New Roman" w:eastAsia="Times New Roman"/>
          <w:u w:val="single"/>
        </w:rPr>
        <w:t>93.67</w:t>
      </w:r>
      <w:r>
        <w:rPr>
          <w:rFonts w:hint="eastAsia" w:ascii="宋体" w:eastAsia="宋体"/>
        </w:rPr>
        <w:t>%</w:t>
      </w:r>
      <w:r>
        <w:t xml:space="preserve">； </w:t>
      </w:r>
      <w:r>
        <w:rPr>
          <w:spacing w:val="-12"/>
        </w:rPr>
        <w:t xml:space="preserve">本年项目支出 </w:t>
      </w:r>
      <w:r>
        <w:rPr>
          <w:rFonts w:ascii="Times New Roman" w:eastAsia="Times New Roman"/>
          <w:u w:val="single"/>
        </w:rPr>
        <w:t>17.01</w:t>
      </w:r>
      <w:r>
        <w:rPr>
          <w:rFonts w:ascii="Times New Roman" w:eastAsia="Times New Roman"/>
        </w:rPr>
        <w:t xml:space="preserve"> </w:t>
      </w:r>
      <w:r>
        <w:rPr>
          <w:spacing w:val="-17"/>
        </w:rPr>
        <w:t xml:space="preserve">万元，占 </w:t>
      </w:r>
      <w:r>
        <w:rPr>
          <w:rFonts w:ascii="Times New Roman" w:eastAsia="Times New Roman"/>
          <w:u w:val="single"/>
        </w:rPr>
        <w:t>6.33</w:t>
      </w:r>
      <w:r>
        <w:rPr>
          <w:rFonts w:hint="eastAsia" w:ascii="宋体" w:eastAsia="宋体"/>
        </w:rPr>
        <w:t>%</w:t>
      </w:r>
      <w:r>
        <w:t>；</w:t>
      </w:r>
    </w:p>
    <w:p>
      <w:pPr>
        <w:pStyle w:val="5"/>
        <w:spacing w:line="491" w:lineRule="auto"/>
        <w:ind w:left="780" w:right="3430"/>
      </w:pPr>
      <w:r>
        <w:rPr>
          <w:spacing w:val="-10"/>
        </w:rPr>
        <w:t xml:space="preserve">本年上缴上级支出 </w:t>
      </w:r>
      <w:r>
        <w:rPr>
          <w:rFonts w:ascii="Times New Roman" w:eastAsia="Times New Roman"/>
          <w:u w:val="single"/>
        </w:rPr>
        <w:t>0.00</w:t>
      </w:r>
      <w:r>
        <w:rPr>
          <w:rFonts w:ascii="Times New Roman" w:eastAsia="Times New Roman"/>
        </w:rPr>
        <w:t xml:space="preserve"> </w:t>
      </w:r>
      <w:r>
        <w:rPr>
          <w:spacing w:val="-17"/>
        </w:rPr>
        <w:t xml:space="preserve">万元，占 </w:t>
      </w:r>
      <w:r>
        <w:rPr>
          <w:rFonts w:ascii="Times New Roman" w:eastAsia="Times New Roman"/>
          <w:u w:val="single"/>
        </w:rPr>
        <w:t>0.00</w:t>
      </w:r>
      <w:r>
        <w:rPr>
          <w:rFonts w:hint="eastAsia" w:ascii="宋体" w:eastAsia="宋体"/>
        </w:rPr>
        <w:t>%</w:t>
      </w:r>
      <w:r>
        <w:t xml:space="preserve">； </w:t>
      </w:r>
      <w:r>
        <w:rPr>
          <w:spacing w:val="-12"/>
        </w:rPr>
        <w:t xml:space="preserve">本年经营支出 </w:t>
      </w:r>
      <w:r>
        <w:rPr>
          <w:rFonts w:ascii="Times New Roman" w:eastAsia="Times New Roman"/>
          <w:u w:val="single"/>
        </w:rPr>
        <w:t>0.00</w:t>
      </w:r>
      <w:r>
        <w:rPr>
          <w:rFonts w:ascii="Times New Roman" w:eastAsia="Times New Roman"/>
        </w:rPr>
        <w:t xml:space="preserve"> </w:t>
      </w:r>
      <w:r>
        <w:rPr>
          <w:spacing w:val="-16"/>
        </w:rPr>
        <w:t xml:space="preserve">万元，占 </w:t>
      </w:r>
      <w:r>
        <w:rPr>
          <w:rFonts w:ascii="Times New Roman" w:eastAsia="Times New Roman"/>
          <w:u w:val="single"/>
        </w:rPr>
        <w:t>0.00</w:t>
      </w:r>
      <w:r>
        <w:rPr>
          <w:rFonts w:hint="eastAsia" w:ascii="宋体" w:eastAsia="宋体"/>
        </w:rPr>
        <w:t>%</w:t>
      </w:r>
      <w:r>
        <w:t>；</w:t>
      </w:r>
    </w:p>
    <w:p>
      <w:pPr>
        <w:pStyle w:val="5"/>
        <w:spacing w:line="409" w:lineRule="exact"/>
        <w:ind w:left="780"/>
      </w:pPr>
      <w:r>
        <w:t xml:space="preserve">本年对附属单位补助支出 </w:t>
      </w:r>
      <w:r>
        <w:rPr>
          <w:rFonts w:ascii="Times New Roman" w:eastAsia="Times New Roman"/>
          <w:u w:val="single"/>
        </w:rPr>
        <w:t>0.00</w:t>
      </w:r>
      <w:r>
        <w:rPr>
          <w:rFonts w:ascii="Times New Roman" w:eastAsia="Times New Roman"/>
        </w:rPr>
        <w:t xml:space="preserve"> </w:t>
      </w:r>
      <w:r>
        <w:t xml:space="preserve">万元，占 </w:t>
      </w:r>
      <w:r>
        <w:rPr>
          <w:rFonts w:ascii="Times New Roman" w:eastAsia="Times New Roman"/>
          <w:u w:val="single"/>
        </w:rPr>
        <w:t>0.00</w:t>
      </w:r>
      <w:r>
        <w:rPr>
          <w:rFonts w:hint="eastAsia" w:ascii="宋体" w:eastAsia="宋体"/>
        </w:rPr>
        <w:t>%</w:t>
      </w:r>
      <w:r>
        <w:t>。</w:t>
      </w:r>
    </w:p>
    <w:p>
      <w:pPr>
        <w:spacing w:after="0" w:line="409" w:lineRule="exact"/>
        <w:sectPr>
          <w:pgSz w:w="11920" w:h="16860"/>
          <w:pgMar w:top="1540" w:right="380" w:bottom="280" w:left="1660" w:header="720" w:footer="720" w:gutter="0"/>
          <w:pgBorders>
            <w:top w:val="none" w:sz="0" w:space="0"/>
            <w:left w:val="none" w:sz="0" w:space="0"/>
            <w:bottom w:val="none" w:sz="0" w:space="0"/>
            <w:right w:val="none" w:sz="0" w:space="0"/>
          </w:pgBorders>
          <w:cols w:space="720" w:num="1"/>
        </w:sectPr>
      </w:pPr>
    </w:p>
    <w:p>
      <w:pPr>
        <w:pStyle w:val="5"/>
        <w:spacing w:before="39"/>
        <w:ind w:left="3599" w:right="3921"/>
        <w:jc w:val="center"/>
      </w:pPr>
      <w:r>
        <w:t xml:space="preserve">图 </w:t>
      </w:r>
      <w:r>
        <w:rPr>
          <w:rFonts w:ascii="Times New Roman" w:eastAsia="Times New Roman"/>
        </w:rPr>
        <w:t>2.</w:t>
      </w:r>
      <w:r>
        <w:t>支出决算图</w:t>
      </w:r>
    </w:p>
    <w:p>
      <w:pPr>
        <w:pStyle w:val="5"/>
        <w:spacing w:before="2"/>
        <w:rPr>
          <w:sz w:val="21"/>
        </w:rPr>
      </w:pPr>
      <w:r>
        <w:drawing>
          <wp:anchor distT="0" distB="0" distL="0" distR="0" simplePos="0" relativeHeight="251659264" behindDoc="0" locked="0" layoutInCell="1" allowOverlap="1">
            <wp:simplePos x="0" y="0"/>
            <wp:positionH relativeFrom="page">
              <wp:posOffset>1913890</wp:posOffset>
            </wp:positionH>
            <wp:positionV relativeFrom="paragraph">
              <wp:posOffset>196850</wp:posOffset>
            </wp:positionV>
            <wp:extent cx="4116705" cy="251142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4116396" cy="2511552"/>
                    </a:xfrm>
                    <a:prstGeom prst="rect">
                      <a:avLst/>
                    </a:prstGeom>
                  </pic:spPr>
                </pic:pic>
              </a:graphicData>
            </a:graphic>
          </wp:anchor>
        </w:drawing>
      </w:r>
    </w:p>
    <w:p>
      <w:pPr>
        <w:pStyle w:val="5"/>
        <w:rPr>
          <w:sz w:val="34"/>
        </w:rPr>
      </w:pPr>
    </w:p>
    <w:p>
      <w:pPr>
        <w:pStyle w:val="5"/>
        <w:rPr>
          <w:sz w:val="34"/>
        </w:rPr>
      </w:pPr>
    </w:p>
    <w:p>
      <w:pPr>
        <w:pStyle w:val="3"/>
        <w:spacing w:before="270"/>
      </w:pPr>
      <w:r>
        <w:t>四、财政拨款收入支出决算总体情况说明</w:t>
      </w:r>
    </w:p>
    <w:p>
      <w:pPr>
        <w:pStyle w:val="5"/>
        <w:spacing w:before="7"/>
        <w:rPr>
          <w:rFonts w:ascii="黑体"/>
          <w:b/>
          <w:sz w:val="33"/>
        </w:rPr>
      </w:pPr>
    </w:p>
    <w:p>
      <w:pPr>
        <w:pStyle w:val="5"/>
        <w:ind w:left="780"/>
      </w:pPr>
      <w:r>
        <w:rPr>
          <w:spacing w:val="1"/>
        </w:rPr>
        <w:t xml:space="preserve">锡林郭勒盟农村牧区社会事业发展中心单位 </w:t>
      </w:r>
      <w:r>
        <w:rPr>
          <w:rFonts w:hint="eastAsia" w:ascii="宋体" w:eastAsia="宋体"/>
        </w:rPr>
        <w:t>2022</w:t>
      </w:r>
      <w:r>
        <w:rPr>
          <w:rFonts w:hint="eastAsia" w:ascii="宋体" w:eastAsia="宋体"/>
          <w:spacing w:val="-84"/>
        </w:rPr>
        <w:t xml:space="preserve"> </w:t>
      </w:r>
      <w:r>
        <w:rPr>
          <w:spacing w:val="3"/>
        </w:rPr>
        <w:t>年度</w:t>
      </w:r>
    </w:p>
    <w:p>
      <w:pPr>
        <w:pStyle w:val="5"/>
        <w:spacing w:before="152" w:line="328" w:lineRule="auto"/>
        <w:ind w:left="140" w:right="1189"/>
        <w:rPr>
          <w:rFonts w:hint="eastAsia" w:ascii="宋体" w:eastAsia="宋体"/>
        </w:rPr>
      </w:pPr>
      <w:r>
        <w:rPr>
          <w:spacing w:val="4"/>
        </w:rPr>
        <w:t xml:space="preserve">财政拨款收入、支出决算总计 </w:t>
      </w:r>
      <w:r>
        <w:rPr>
          <w:rFonts w:ascii="Times New Roman" w:eastAsia="Times New Roman"/>
          <w:u w:val="single"/>
        </w:rPr>
        <w:t>268.50</w:t>
      </w:r>
      <w:r>
        <w:rPr>
          <w:rFonts w:ascii="Times New Roman" w:eastAsia="Times New Roman"/>
          <w:spacing w:val="-9"/>
        </w:rPr>
        <w:t xml:space="preserve"> </w:t>
      </w:r>
      <w:r>
        <w:rPr>
          <w:spacing w:val="10"/>
        </w:rPr>
        <w:t>万元，与年初预算相</w:t>
      </w:r>
      <w:r>
        <w:rPr>
          <w:spacing w:val="1"/>
        </w:rPr>
        <w:t xml:space="preserve">比，收、支总计各增加 </w:t>
      </w:r>
      <w:r>
        <w:rPr>
          <w:rFonts w:ascii="Times New Roman" w:eastAsia="Times New Roman"/>
          <w:u w:val="single"/>
        </w:rPr>
        <w:t>28.91</w:t>
      </w:r>
      <w:r>
        <w:rPr>
          <w:rFonts w:ascii="Times New Roman" w:eastAsia="Times New Roman"/>
          <w:spacing w:val="-21"/>
        </w:rPr>
        <w:t xml:space="preserve"> </w:t>
      </w:r>
      <w:r>
        <w:rPr>
          <w:spacing w:val="-14"/>
        </w:rPr>
        <w:t xml:space="preserve">万元，增长 </w:t>
      </w:r>
      <w:r>
        <w:rPr>
          <w:rFonts w:ascii="Times New Roman" w:eastAsia="Times New Roman"/>
          <w:u w:val="single"/>
        </w:rPr>
        <w:t>12.07</w:t>
      </w:r>
      <w:r>
        <w:rPr>
          <w:rFonts w:hint="eastAsia" w:ascii="宋体" w:eastAsia="宋体"/>
        </w:rPr>
        <w:t>%</w:t>
      </w:r>
      <w:r>
        <w:t xml:space="preserve">，变动原因： </w:t>
      </w:r>
      <w:r>
        <w:rPr>
          <w:spacing w:val="11"/>
        </w:rPr>
        <w:t>追加人员工资及各项保险费用；与上年决算相比，收、支</w:t>
      </w:r>
      <w:r>
        <w:rPr>
          <w:spacing w:val="-12"/>
        </w:rPr>
        <w:t xml:space="preserve">总计各增加 </w:t>
      </w:r>
      <w:r>
        <w:rPr>
          <w:rFonts w:ascii="Times New Roman" w:eastAsia="Times New Roman"/>
          <w:u w:val="single"/>
        </w:rPr>
        <w:t>169.20</w:t>
      </w:r>
      <w:r>
        <w:rPr>
          <w:rFonts w:ascii="Times New Roman" w:eastAsia="Times New Roman"/>
          <w:spacing w:val="-13"/>
        </w:rPr>
        <w:t xml:space="preserve"> </w:t>
      </w:r>
      <w:r>
        <w:rPr>
          <w:spacing w:val="-12"/>
        </w:rPr>
        <w:t xml:space="preserve">万元，增长 </w:t>
      </w:r>
      <w:r>
        <w:rPr>
          <w:rFonts w:ascii="Times New Roman" w:eastAsia="Times New Roman"/>
          <w:sz w:val="30"/>
          <w:u w:val="single"/>
        </w:rPr>
        <w:t>170.39</w:t>
      </w:r>
      <w:r>
        <w:rPr>
          <w:rFonts w:hint="eastAsia" w:ascii="宋体" w:eastAsia="宋体"/>
        </w:rPr>
        <w:t>%</w:t>
      </w:r>
      <w:r>
        <w:rPr>
          <w:spacing w:val="-9"/>
        </w:rPr>
        <w:t xml:space="preserve">，变动原因：比 </w:t>
      </w:r>
      <w:r>
        <w:rPr>
          <w:rFonts w:hint="eastAsia" w:ascii="宋体" w:eastAsia="宋体"/>
        </w:rPr>
        <w:t>2021</w:t>
      </w:r>
    </w:p>
    <w:p>
      <w:pPr>
        <w:pStyle w:val="5"/>
        <w:spacing w:line="402" w:lineRule="exact"/>
        <w:ind w:left="140"/>
      </w:pPr>
      <w:r>
        <w:rPr>
          <w:spacing w:val="-27"/>
        </w:rPr>
        <w:t xml:space="preserve">年多 </w:t>
      </w:r>
      <w:r>
        <w:rPr>
          <w:rFonts w:hint="eastAsia" w:ascii="宋体" w:eastAsia="宋体"/>
        </w:rPr>
        <w:t>8</w:t>
      </w:r>
      <w:r>
        <w:rPr>
          <w:rFonts w:hint="eastAsia" w:ascii="宋体" w:eastAsia="宋体"/>
          <w:spacing w:val="-80"/>
        </w:rPr>
        <w:t xml:space="preserve"> </w:t>
      </w:r>
      <w:r>
        <w:t>个月人员工资及各项保险费用。</w:t>
      </w:r>
    </w:p>
    <w:p>
      <w:pPr>
        <w:pStyle w:val="5"/>
        <w:spacing w:before="7"/>
        <w:rPr>
          <w:sz w:val="33"/>
        </w:rPr>
      </w:pPr>
    </w:p>
    <w:p>
      <w:pPr>
        <w:pStyle w:val="3"/>
      </w:pPr>
      <w:r>
        <w:t>五、一般公共预算支出决算情况说明</w:t>
      </w:r>
    </w:p>
    <w:p>
      <w:pPr>
        <w:pStyle w:val="5"/>
        <w:spacing w:before="7"/>
        <w:rPr>
          <w:rFonts w:ascii="黑体"/>
          <w:b/>
          <w:sz w:val="33"/>
        </w:rPr>
      </w:pPr>
    </w:p>
    <w:p>
      <w:pPr>
        <w:pStyle w:val="5"/>
        <w:ind w:right="1419"/>
        <w:jc w:val="right"/>
      </w:pPr>
      <w:r>
        <w:rPr>
          <w:spacing w:val="1"/>
        </w:rPr>
        <w:t xml:space="preserve">锡林郭勒盟农村牧区社会事业发展中心单位 </w:t>
      </w:r>
      <w:r>
        <w:rPr>
          <w:rFonts w:hint="eastAsia" w:ascii="宋体" w:eastAsia="宋体"/>
        </w:rPr>
        <w:t>2022</w:t>
      </w:r>
      <w:r>
        <w:rPr>
          <w:rFonts w:hint="eastAsia" w:ascii="宋体" w:eastAsia="宋体"/>
          <w:spacing w:val="-84"/>
        </w:rPr>
        <w:t xml:space="preserve"> </w:t>
      </w:r>
      <w:r>
        <w:rPr>
          <w:spacing w:val="3"/>
        </w:rPr>
        <w:t>年度</w:t>
      </w:r>
    </w:p>
    <w:p>
      <w:pPr>
        <w:pStyle w:val="5"/>
        <w:spacing w:before="149"/>
        <w:ind w:right="1419"/>
        <w:jc w:val="right"/>
      </w:pPr>
      <w:r>
        <w:rPr>
          <w:spacing w:val="4"/>
        </w:rPr>
        <w:t xml:space="preserve">一般公共预算财政拨款支出决算 </w:t>
      </w:r>
      <w:r>
        <w:rPr>
          <w:rFonts w:ascii="Times New Roman" w:eastAsia="Times New Roman"/>
          <w:u w:val="single"/>
        </w:rPr>
        <w:t>268.50</w:t>
      </w:r>
      <w:r>
        <w:rPr>
          <w:rFonts w:ascii="Times New Roman" w:eastAsia="Times New Roman"/>
          <w:spacing w:val="-13"/>
        </w:rPr>
        <w:t xml:space="preserve"> </w:t>
      </w:r>
      <w:r>
        <w:rPr>
          <w:spacing w:val="9"/>
        </w:rPr>
        <w:t>万元。与年初预算</w:t>
      </w:r>
    </w:p>
    <w:p>
      <w:pPr>
        <w:pStyle w:val="11"/>
        <w:numPr>
          <w:ilvl w:val="1"/>
          <w:numId w:val="4"/>
        </w:numPr>
        <w:tabs>
          <w:tab w:val="left" w:pos="1084"/>
        </w:tabs>
        <w:spacing w:before="152" w:after="0" w:line="240" w:lineRule="auto"/>
        <w:ind w:left="1083" w:right="0" w:hanging="944"/>
        <w:jc w:val="left"/>
        <w:rPr>
          <w:sz w:val="32"/>
        </w:rPr>
      </w:pPr>
      <w:r>
        <w:rPr>
          <w:spacing w:val="-7"/>
          <w:sz w:val="32"/>
        </w:rPr>
        <w:t xml:space="preserve">万元相比，完成年初预算的 </w:t>
      </w:r>
      <w:r>
        <w:rPr>
          <w:rFonts w:ascii="Times New Roman" w:eastAsia="Times New Roman"/>
          <w:sz w:val="32"/>
          <w:u w:val="single"/>
        </w:rPr>
        <w:t>112.07</w:t>
      </w:r>
      <w:r>
        <w:rPr>
          <w:rFonts w:hint="eastAsia" w:ascii="宋体" w:eastAsia="宋体"/>
          <w:sz w:val="32"/>
        </w:rPr>
        <w:t>%</w:t>
      </w:r>
      <w:r>
        <w:rPr>
          <w:sz w:val="32"/>
        </w:rPr>
        <w:t>。其中：</w:t>
      </w:r>
    </w:p>
    <w:p>
      <w:pPr>
        <w:pStyle w:val="5"/>
        <w:spacing w:before="7"/>
        <w:rPr>
          <w:sz w:val="33"/>
        </w:rPr>
      </w:pPr>
    </w:p>
    <w:p>
      <w:pPr>
        <w:pStyle w:val="3"/>
        <w:rPr>
          <w:rFonts w:hint="eastAsia" w:ascii="楷体" w:eastAsia="楷体"/>
        </w:rPr>
      </w:pPr>
      <w:r>
        <w:rPr>
          <w:rFonts w:hint="eastAsia" w:ascii="楷体" w:eastAsia="楷体"/>
        </w:rPr>
        <w:t>（一）社会保障和就业支出（类）</w:t>
      </w:r>
    </w:p>
    <w:p>
      <w:pPr>
        <w:spacing w:after="0"/>
        <w:rPr>
          <w:rFonts w:hint="eastAsia" w:ascii="楷体" w:eastAsia="楷体"/>
        </w:rPr>
        <w:sectPr>
          <w:pgSz w:w="11920" w:h="16860"/>
          <w:pgMar w:top="1520" w:right="380" w:bottom="280" w:left="1660" w:header="720" w:footer="720" w:gutter="0"/>
          <w:pgBorders>
            <w:top w:val="none" w:sz="0" w:space="0"/>
            <w:left w:val="none" w:sz="0" w:space="0"/>
            <w:bottom w:val="none" w:sz="0" w:space="0"/>
            <w:right w:val="none" w:sz="0" w:space="0"/>
          </w:pgBorders>
          <w:cols w:space="720" w:num="1"/>
        </w:sectPr>
      </w:pPr>
    </w:p>
    <w:p>
      <w:pPr>
        <w:pStyle w:val="5"/>
        <w:spacing w:before="39"/>
        <w:ind w:left="780"/>
        <w:jc w:val="both"/>
      </w:pPr>
      <w:r>
        <w:t xml:space="preserve">社会保障和就业支出类决算数为 </w:t>
      </w:r>
      <w:r>
        <w:rPr>
          <w:rFonts w:ascii="Times New Roman" w:eastAsia="Times New Roman"/>
          <w:u w:val="single"/>
        </w:rPr>
        <w:t>28.69</w:t>
      </w:r>
      <w:r>
        <w:rPr>
          <w:rFonts w:ascii="Times New Roman" w:eastAsia="Times New Roman"/>
        </w:rPr>
        <w:t xml:space="preserve"> </w:t>
      </w:r>
      <w:r>
        <w:t>万元，与年初预</w:t>
      </w:r>
    </w:p>
    <w:p>
      <w:pPr>
        <w:pStyle w:val="5"/>
        <w:spacing w:before="149"/>
        <w:ind w:left="140"/>
        <w:jc w:val="both"/>
      </w:pPr>
      <w:r>
        <w:rPr>
          <w:spacing w:val="-14"/>
        </w:rPr>
        <w:t xml:space="preserve">算相比减少 </w:t>
      </w:r>
      <w:r>
        <w:rPr>
          <w:rFonts w:hint="eastAsia" w:ascii="宋体" w:eastAsia="宋体"/>
          <w:u w:val="single"/>
        </w:rPr>
        <w:t>5.64</w:t>
      </w:r>
      <w:r>
        <w:rPr>
          <w:rFonts w:hint="eastAsia" w:ascii="宋体" w:eastAsia="宋体"/>
          <w:spacing w:val="-80"/>
        </w:rPr>
        <w:t xml:space="preserve"> </w:t>
      </w:r>
      <w:r>
        <w:t>万元。其中：</w:t>
      </w:r>
    </w:p>
    <w:p>
      <w:pPr>
        <w:pStyle w:val="5"/>
        <w:spacing w:before="7"/>
        <w:rPr>
          <w:sz w:val="33"/>
        </w:rPr>
      </w:pPr>
    </w:p>
    <w:p>
      <w:pPr>
        <w:pStyle w:val="11"/>
        <w:numPr>
          <w:ilvl w:val="2"/>
          <w:numId w:val="4"/>
        </w:numPr>
        <w:tabs>
          <w:tab w:val="left" w:pos="1246"/>
        </w:tabs>
        <w:spacing w:before="0" w:after="0" w:line="240" w:lineRule="auto"/>
        <w:ind w:left="1245" w:right="0" w:hanging="466"/>
        <w:jc w:val="both"/>
        <w:rPr>
          <w:rFonts w:hint="eastAsia" w:ascii="宋体" w:eastAsia="宋体"/>
          <w:sz w:val="29"/>
        </w:rPr>
      </w:pPr>
      <w:r>
        <w:rPr>
          <w:spacing w:val="43"/>
          <w:sz w:val="32"/>
        </w:rPr>
        <w:t>行政事业单位养老支出</w:t>
      </w:r>
      <w:r>
        <w:rPr>
          <w:sz w:val="32"/>
        </w:rPr>
        <w:t>（</w:t>
      </w:r>
      <w:r>
        <w:rPr>
          <w:spacing w:val="-38"/>
          <w:sz w:val="32"/>
        </w:rPr>
        <w:t xml:space="preserve"> 款</w:t>
      </w:r>
      <w:r>
        <w:rPr>
          <w:sz w:val="32"/>
        </w:rPr>
        <w:t>）</w:t>
      </w:r>
      <w:r>
        <w:rPr>
          <w:spacing w:val="16"/>
          <w:sz w:val="32"/>
        </w:rPr>
        <w:t xml:space="preserve"> 事业单位离退休</w:t>
      </w:r>
    </w:p>
    <w:p>
      <w:pPr>
        <w:spacing w:before="149" w:line="333" w:lineRule="auto"/>
        <w:ind w:left="140" w:right="1419" w:firstLine="0"/>
        <w:jc w:val="both"/>
        <w:rPr>
          <w:sz w:val="31"/>
        </w:rPr>
      </w:pPr>
      <w:r>
        <w:rPr>
          <w:spacing w:val="7"/>
          <w:sz w:val="32"/>
        </w:rPr>
        <w:t>（</w:t>
      </w:r>
      <w:r>
        <w:rPr>
          <w:spacing w:val="5"/>
          <w:sz w:val="32"/>
        </w:rPr>
        <w:t>项</w:t>
      </w:r>
      <w:r>
        <w:rPr>
          <w:spacing w:val="7"/>
          <w:sz w:val="32"/>
        </w:rPr>
        <w:t>）</w:t>
      </w:r>
      <w:r>
        <w:rPr>
          <w:spacing w:val="5"/>
          <w:sz w:val="32"/>
        </w:rPr>
        <w:t>。年初预算</w:t>
      </w:r>
      <w:r>
        <w:rPr>
          <w:spacing w:val="85"/>
          <w:sz w:val="32"/>
          <w:u w:val="single"/>
        </w:rPr>
        <w:t xml:space="preserve"> </w:t>
      </w:r>
      <w:r>
        <w:rPr>
          <w:rFonts w:ascii="Times New Roman" w:eastAsia="Times New Roman"/>
          <w:sz w:val="32"/>
          <w:u w:val="single"/>
        </w:rPr>
        <w:t>0</w:t>
      </w:r>
      <w:r>
        <w:rPr>
          <w:rFonts w:ascii="Times New Roman" w:eastAsia="Times New Roman"/>
          <w:spacing w:val="-13"/>
          <w:sz w:val="32"/>
        </w:rPr>
        <w:t xml:space="preserve"> </w:t>
      </w:r>
      <w:r>
        <w:rPr>
          <w:spacing w:val="-7"/>
          <w:sz w:val="32"/>
        </w:rPr>
        <w:t xml:space="preserve">万元，支出决算 </w:t>
      </w:r>
      <w:r>
        <w:rPr>
          <w:rFonts w:ascii="Times New Roman" w:eastAsia="Times New Roman"/>
          <w:sz w:val="30"/>
          <w:u w:val="single"/>
        </w:rPr>
        <w:t>1.13</w:t>
      </w:r>
      <w:r>
        <w:rPr>
          <w:rFonts w:ascii="Times New Roman" w:eastAsia="Times New Roman"/>
          <w:spacing w:val="-15"/>
          <w:sz w:val="30"/>
        </w:rPr>
        <w:t xml:space="preserve"> </w:t>
      </w:r>
      <w:r>
        <w:rPr>
          <w:spacing w:val="4"/>
          <w:sz w:val="32"/>
        </w:rPr>
        <w:t>万元，完成年初</w:t>
      </w:r>
      <w:r>
        <w:rPr>
          <w:spacing w:val="-15"/>
          <w:sz w:val="32"/>
        </w:rPr>
        <w:t xml:space="preserve">预算的 </w:t>
      </w:r>
      <w:r>
        <w:rPr>
          <w:rFonts w:ascii="Times New Roman" w:eastAsia="Times New Roman"/>
          <w:sz w:val="32"/>
          <w:u w:val="single"/>
        </w:rPr>
        <w:t>100</w:t>
      </w:r>
      <w:r>
        <w:rPr>
          <w:rFonts w:ascii="Times New Roman" w:eastAsia="Times New Roman"/>
          <w:spacing w:val="-1"/>
          <w:sz w:val="32"/>
        </w:rPr>
        <w:t xml:space="preserve"> </w:t>
      </w:r>
      <w:r>
        <w:rPr>
          <w:rFonts w:hint="eastAsia" w:ascii="宋体" w:eastAsia="宋体"/>
          <w:spacing w:val="6"/>
          <w:sz w:val="32"/>
        </w:rPr>
        <w:t>%</w:t>
      </w:r>
      <w:r>
        <w:rPr>
          <w:spacing w:val="7"/>
          <w:sz w:val="32"/>
        </w:rPr>
        <w:t>。决算数与年初预算数的差异原因：</w:t>
      </w:r>
      <w:r>
        <w:rPr>
          <w:spacing w:val="4"/>
          <w:sz w:val="31"/>
        </w:rPr>
        <w:t>因离退休</w:t>
      </w:r>
      <w:r>
        <w:rPr>
          <w:spacing w:val="8"/>
          <w:sz w:val="31"/>
        </w:rPr>
        <w:t>工资功能分类从其他行政事业单位养老支出改为事业单位离退休。</w:t>
      </w:r>
    </w:p>
    <w:p>
      <w:pPr>
        <w:pStyle w:val="11"/>
        <w:numPr>
          <w:ilvl w:val="2"/>
          <w:numId w:val="4"/>
        </w:numPr>
        <w:tabs>
          <w:tab w:val="left" w:pos="1246"/>
        </w:tabs>
        <w:spacing w:before="0" w:after="0" w:line="331" w:lineRule="auto"/>
        <w:ind w:left="140" w:right="1420" w:firstLine="640"/>
        <w:jc w:val="both"/>
        <w:rPr>
          <w:rFonts w:hint="eastAsia" w:ascii="宋体" w:eastAsia="宋体"/>
          <w:sz w:val="29"/>
        </w:rPr>
      </w:pPr>
      <w:r>
        <w:rPr>
          <w:spacing w:val="12"/>
          <w:w w:val="95"/>
          <w:sz w:val="32"/>
        </w:rPr>
        <w:t>行政事业单位养老支出（</w:t>
      </w:r>
      <w:r>
        <w:rPr>
          <w:spacing w:val="14"/>
          <w:w w:val="95"/>
          <w:sz w:val="32"/>
        </w:rPr>
        <w:t>款</w:t>
      </w:r>
      <w:r>
        <w:rPr>
          <w:spacing w:val="12"/>
          <w:w w:val="95"/>
          <w:sz w:val="32"/>
        </w:rPr>
        <w:t>）</w:t>
      </w:r>
      <w:r>
        <w:rPr>
          <w:spacing w:val="9"/>
          <w:w w:val="95"/>
          <w:sz w:val="31"/>
        </w:rPr>
        <w:t xml:space="preserve">其他行政事业单位养 </w:t>
      </w:r>
      <w:r>
        <w:rPr>
          <w:spacing w:val="11"/>
          <w:sz w:val="31"/>
        </w:rPr>
        <w:t>老支出</w:t>
      </w:r>
      <w:r>
        <w:rPr>
          <w:spacing w:val="14"/>
          <w:sz w:val="32"/>
        </w:rPr>
        <w:t>（</w:t>
      </w:r>
      <w:r>
        <w:rPr>
          <w:spacing w:val="12"/>
          <w:sz w:val="32"/>
        </w:rPr>
        <w:t>项</w:t>
      </w:r>
      <w:r>
        <w:rPr>
          <w:spacing w:val="14"/>
          <w:sz w:val="32"/>
        </w:rPr>
        <w:t>）</w:t>
      </w:r>
      <w:r>
        <w:rPr>
          <w:spacing w:val="13"/>
          <w:sz w:val="32"/>
        </w:rPr>
        <w:t>。年初预算</w:t>
      </w:r>
      <w:r>
        <w:rPr>
          <w:spacing w:val="-72"/>
          <w:sz w:val="32"/>
          <w:u w:val="single"/>
        </w:rPr>
        <w:t xml:space="preserve"> </w:t>
      </w:r>
      <w:r>
        <w:rPr>
          <w:rFonts w:ascii="Times New Roman" w:eastAsia="Times New Roman"/>
          <w:sz w:val="32"/>
          <w:u w:val="single"/>
        </w:rPr>
        <w:t>0.45</w:t>
      </w:r>
      <w:r>
        <w:rPr>
          <w:rFonts w:ascii="Times New Roman" w:eastAsia="Times New Roman"/>
          <w:spacing w:val="-9"/>
          <w:sz w:val="32"/>
        </w:rPr>
        <w:t xml:space="preserve"> </w:t>
      </w:r>
      <w:r>
        <w:rPr>
          <w:sz w:val="32"/>
        </w:rPr>
        <w:t xml:space="preserve">万元，支出决算 </w:t>
      </w:r>
      <w:r>
        <w:rPr>
          <w:rFonts w:ascii="Times New Roman" w:eastAsia="Times New Roman"/>
          <w:sz w:val="30"/>
          <w:u w:val="single"/>
        </w:rPr>
        <w:t>0</w:t>
      </w:r>
      <w:r>
        <w:rPr>
          <w:rFonts w:ascii="Times New Roman" w:eastAsia="Times New Roman"/>
          <w:spacing w:val="-6"/>
          <w:sz w:val="30"/>
        </w:rPr>
        <w:t xml:space="preserve"> </w:t>
      </w:r>
      <w:r>
        <w:rPr>
          <w:spacing w:val="9"/>
          <w:sz w:val="32"/>
        </w:rPr>
        <w:t>万元，完</w:t>
      </w:r>
      <w:r>
        <w:rPr>
          <w:spacing w:val="-7"/>
          <w:sz w:val="32"/>
        </w:rPr>
        <w:t xml:space="preserve">成年初预算的 </w:t>
      </w:r>
      <w:r>
        <w:rPr>
          <w:rFonts w:ascii="Times New Roman" w:eastAsia="Times New Roman"/>
          <w:sz w:val="32"/>
          <w:u w:val="single"/>
        </w:rPr>
        <w:t>100</w:t>
      </w:r>
      <w:r>
        <w:rPr>
          <w:rFonts w:ascii="Times New Roman" w:eastAsia="Times New Roman"/>
          <w:spacing w:val="-5"/>
          <w:sz w:val="32"/>
        </w:rPr>
        <w:t xml:space="preserve"> </w:t>
      </w:r>
      <w:r>
        <w:rPr>
          <w:rFonts w:hint="eastAsia" w:ascii="宋体" w:eastAsia="宋体"/>
          <w:spacing w:val="8"/>
          <w:sz w:val="32"/>
        </w:rPr>
        <w:t>%</w:t>
      </w:r>
      <w:r>
        <w:rPr>
          <w:spacing w:val="7"/>
          <w:sz w:val="32"/>
        </w:rPr>
        <w:t>。决算数与年初预算数的差异原因：</w:t>
      </w:r>
      <w:r>
        <w:rPr>
          <w:sz w:val="31"/>
        </w:rPr>
        <w:t>因</w:t>
      </w:r>
      <w:r>
        <w:rPr>
          <w:spacing w:val="8"/>
          <w:sz w:val="31"/>
        </w:rPr>
        <w:t>离退休工资功能分类从其他行政事业单位养老支出改为事业单位离退休。</w:t>
      </w:r>
    </w:p>
    <w:p>
      <w:pPr>
        <w:pStyle w:val="5"/>
        <w:spacing w:before="1"/>
        <w:rPr>
          <w:sz w:val="22"/>
        </w:rPr>
      </w:pPr>
    </w:p>
    <w:p>
      <w:pPr>
        <w:pStyle w:val="11"/>
        <w:numPr>
          <w:ilvl w:val="2"/>
          <w:numId w:val="4"/>
        </w:numPr>
        <w:tabs>
          <w:tab w:val="left" w:pos="1115"/>
        </w:tabs>
        <w:spacing w:before="0" w:after="0" w:line="326" w:lineRule="auto"/>
        <w:ind w:left="140" w:right="1419" w:firstLine="640"/>
        <w:jc w:val="both"/>
        <w:rPr>
          <w:rFonts w:hint="eastAsia" w:ascii="宋体" w:eastAsia="宋体"/>
          <w:sz w:val="30"/>
        </w:rPr>
      </w:pPr>
      <w:r>
        <w:rPr>
          <w:spacing w:val="14"/>
          <w:w w:val="95"/>
          <w:sz w:val="32"/>
        </w:rPr>
        <w:t>行政事业单位养老支出（</w:t>
      </w:r>
      <w:r>
        <w:rPr>
          <w:spacing w:val="17"/>
          <w:w w:val="95"/>
          <w:sz w:val="32"/>
        </w:rPr>
        <w:t>款</w:t>
      </w:r>
      <w:r>
        <w:rPr>
          <w:spacing w:val="14"/>
          <w:w w:val="95"/>
          <w:sz w:val="32"/>
        </w:rPr>
        <w:t>）</w:t>
      </w:r>
      <w:r>
        <w:rPr>
          <w:spacing w:val="12"/>
          <w:w w:val="95"/>
          <w:sz w:val="32"/>
        </w:rPr>
        <w:t xml:space="preserve">机关事业单位基本养 </w:t>
      </w:r>
      <w:r>
        <w:rPr>
          <w:spacing w:val="9"/>
          <w:sz w:val="32"/>
        </w:rPr>
        <w:t>老保险缴费支出（项）。年初预算</w:t>
      </w:r>
      <w:r>
        <w:rPr>
          <w:spacing w:val="-75"/>
          <w:sz w:val="32"/>
          <w:u w:val="single"/>
        </w:rPr>
        <w:t xml:space="preserve"> </w:t>
      </w:r>
      <w:r>
        <w:rPr>
          <w:rFonts w:ascii="Times New Roman" w:eastAsia="Times New Roman"/>
          <w:sz w:val="32"/>
          <w:u w:val="single"/>
        </w:rPr>
        <w:t>20.84</w:t>
      </w:r>
      <w:r>
        <w:rPr>
          <w:rFonts w:ascii="Times New Roman" w:eastAsia="Times New Roman"/>
          <w:spacing w:val="8"/>
          <w:sz w:val="32"/>
        </w:rPr>
        <w:t xml:space="preserve"> </w:t>
      </w:r>
      <w:r>
        <w:rPr>
          <w:spacing w:val="7"/>
          <w:sz w:val="32"/>
        </w:rPr>
        <w:t>万元，支出决算</w:t>
      </w:r>
    </w:p>
    <w:p>
      <w:pPr>
        <w:pStyle w:val="5"/>
        <w:spacing w:before="6" w:line="326" w:lineRule="auto"/>
        <w:ind w:left="140" w:right="1419"/>
      </w:pPr>
      <w:r>
        <w:rPr>
          <w:rFonts w:ascii="Times New Roman" w:eastAsia="Times New Roman"/>
          <w:sz w:val="30"/>
          <w:u w:val="single"/>
        </w:rPr>
        <w:t>20.34</w:t>
      </w:r>
      <w:r>
        <w:rPr>
          <w:rFonts w:ascii="Times New Roman" w:eastAsia="Times New Roman"/>
          <w:sz w:val="30"/>
        </w:rPr>
        <w:t xml:space="preserve"> </w:t>
      </w:r>
      <w:r>
        <w:t>万元，完成年初预算的</w:t>
      </w:r>
      <w:r>
        <w:rPr>
          <w:u w:val="single"/>
        </w:rPr>
        <w:t xml:space="preserve"> </w:t>
      </w:r>
      <w:r>
        <w:rPr>
          <w:rFonts w:ascii="Times New Roman" w:eastAsia="Times New Roman"/>
          <w:u w:val="single"/>
        </w:rPr>
        <w:t>97.60</w:t>
      </w:r>
      <w:r>
        <w:rPr>
          <w:rFonts w:ascii="Times New Roman" w:eastAsia="Times New Roman"/>
        </w:rPr>
        <w:t xml:space="preserve"> </w:t>
      </w:r>
      <w:r>
        <w:rPr>
          <w:rFonts w:hint="eastAsia" w:ascii="宋体" w:eastAsia="宋体"/>
        </w:rPr>
        <w:t>%</w:t>
      </w:r>
      <w:r>
        <w:t>。决算数与年初预算数的差异原因：人员退休导致。</w:t>
      </w:r>
    </w:p>
    <w:p>
      <w:pPr>
        <w:pStyle w:val="11"/>
        <w:numPr>
          <w:ilvl w:val="2"/>
          <w:numId w:val="4"/>
        </w:numPr>
        <w:tabs>
          <w:tab w:val="left" w:pos="1273"/>
        </w:tabs>
        <w:spacing w:before="284" w:after="0" w:line="328" w:lineRule="auto"/>
        <w:ind w:left="140" w:right="1419" w:firstLine="640"/>
        <w:jc w:val="both"/>
        <w:rPr>
          <w:rFonts w:hint="eastAsia" w:ascii="宋体" w:eastAsia="宋体"/>
          <w:sz w:val="30"/>
        </w:rPr>
      </w:pPr>
      <w:r>
        <w:rPr>
          <w:spacing w:val="7"/>
          <w:w w:val="95"/>
          <w:sz w:val="32"/>
        </w:rPr>
        <w:t>行政事业单位养老支出（款）</w:t>
      </w:r>
      <w:r>
        <w:rPr>
          <w:spacing w:val="6"/>
          <w:w w:val="95"/>
          <w:sz w:val="32"/>
        </w:rPr>
        <w:t xml:space="preserve">机关事业单位职业年 </w:t>
      </w:r>
      <w:r>
        <w:rPr>
          <w:spacing w:val="2"/>
          <w:sz w:val="32"/>
        </w:rPr>
        <w:t>金缴费支出</w:t>
      </w:r>
      <w:r>
        <w:rPr>
          <w:sz w:val="32"/>
        </w:rPr>
        <w:t>（</w:t>
      </w:r>
      <w:r>
        <w:rPr>
          <w:spacing w:val="5"/>
          <w:sz w:val="32"/>
        </w:rPr>
        <w:t>项</w:t>
      </w:r>
      <w:r>
        <w:rPr>
          <w:sz w:val="32"/>
        </w:rPr>
        <w:t>）</w:t>
      </w:r>
      <w:r>
        <w:rPr>
          <w:spacing w:val="-13"/>
          <w:sz w:val="32"/>
        </w:rPr>
        <w:t xml:space="preserve">。年初预算 </w:t>
      </w:r>
      <w:r>
        <w:rPr>
          <w:rFonts w:ascii="Times New Roman" w:eastAsia="Times New Roman"/>
          <w:sz w:val="32"/>
          <w:u w:val="single"/>
        </w:rPr>
        <w:t>13.04</w:t>
      </w:r>
      <w:r>
        <w:rPr>
          <w:rFonts w:ascii="Times New Roman" w:eastAsia="Times New Roman"/>
          <w:spacing w:val="1"/>
          <w:sz w:val="32"/>
        </w:rPr>
        <w:t xml:space="preserve"> </w:t>
      </w:r>
      <w:r>
        <w:rPr>
          <w:spacing w:val="-10"/>
          <w:sz w:val="32"/>
        </w:rPr>
        <w:t xml:space="preserve">万元，支出决算 </w:t>
      </w:r>
      <w:r>
        <w:rPr>
          <w:rFonts w:ascii="Times New Roman" w:eastAsia="Times New Roman"/>
          <w:sz w:val="30"/>
          <w:u w:val="single"/>
        </w:rPr>
        <w:t>7.22</w:t>
      </w:r>
      <w:r>
        <w:rPr>
          <w:rFonts w:ascii="Times New Roman" w:eastAsia="Times New Roman"/>
          <w:spacing w:val="-12"/>
          <w:sz w:val="30"/>
        </w:rPr>
        <w:t xml:space="preserve"> </w:t>
      </w:r>
      <w:r>
        <w:rPr>
          <w:sz w:val="32"/>
        </w:rPr>
        <w:t>万</w:t>
      </w:r>
      <w:r>
        <w:rPr>
          <w:spacing w:val="6"/>
          <w:sz w:val="32"/>
        </w:rPr>
        <w:t>元，完成年初预算的</w:t>
      </w:r>
      <w:r>
        <w:rPr>
          <w:spacing w:val="-2"/>
          <w:sz w:val="32"/>
          <w:u w:val="single"/>
        </w:rPr>
        <w:t xml:space="preserve"> </w:t>
      </w:r>
      <w:r>
        <w:rPr>
          <w:rFonts w:ascii="Times New Roman" w:eastAsia="Times New Roman"/>
          <w:sz w:val="32"/>
          <w:u w:val="single"/>
        </w:rPr>
        <w:t>55.37</w:t>
      </w:r>
      <w:r>
        <w:rPr>
          <w:rFonts w:ascii="Times New Roman" w:eastAsia="Times New Roman"/>
          <w:spacing w:val="-2"/>
          <w:sz w:val="32"/>
        </w:rPr>
        <w:t xml:space="preserve"> </w:t>
      </w:r>
      <w:r>
        <w:rPr>
          <w:rFonts w:hint="eastAsia" w:ascii="宋体" w:eastAsia="宋体"/>
          <w:spacing w:val="6"/>
          <w:sz w:val="32"/>
        </w:rPr>
        <w:t>%</w:t>
      </w:r>
      <w:r>
        <w:rPr>
          <w:spacing w:val="5"/>
          <w:sz w:val="32"/>
        </w:rPr>
        <w:t>。决算数与年初预算数的差异原因：实际缴纳社保资金少于年初预算资金。</w:t>
      </w:r>
    </w:p>
    <w:p>
      <w:pPr>
        <w:pStyle w:val="3"/>
        <w:spacing w:before="273"/>
        <w:rPr>
          <w:rFonts w:hint="eastAsia" w:ascii="楷体" w:eastAsia="楷体"/>
        </w:rPr>
      </w:pPr>
      <w:r>
        <w:rPr>
          <w:rFonts w:hint="eastAsia" w:ascii="楷体" w:eastAsia="楷体"/>
        </w:rPr>
        <w:t>（二）卫生健康支出（类）</w:t>
      </w:r>
    </w:p>
    <w:p>
      <w:pPr>
        <w:spacing w:after="0"/>
        <w:rPr>
          <w:rFonts w:hint="eastAsia" w:ascii="楷体" w:eastAsia="楷体"/>
        </w:rPr>
        <w:sectPr>
          <w:pgSz w:w="11920" w:h="16860"/>
          <w:pgMar w:top="1520" w:right="380" w:bottom="280" w:left="1660" w:header="720" w:footer="720" w:gutter="0"/>
          <w:pgBorders>
            <w:top w:val="none" w:sz="0" w:space="0"/>
            <w:left w:val="none" w:sz="0" w:space="0"/>
            <w:bottom w:val="none" w:sz="0" w:space="0"/>
            <w:right w:val="none" w:sz="0" w:space="0"/>
          </w:pgBorders>
          <w:cols w:space="720" w:num="1"/>
        </w:sectPr>
      </w:pPr>
    </w:p>
    <w:p>
      <w:pPr>
        <w:pStyle w:val="5"/>
        <w:spacing w:before="39"/>
        <w:ind w:left="780"/>
      </w:pPr>
      <w:r>
        <w:t xml:space="preserve">卫生健康支出类决算数为 </w:t>
      </w:r>
      <w:r>
        <w:rPr>
          <w:rFonts w:ascii="Times New Roman" w:eastAsia="Times New Roman"/>
          <w:u w:val="single"/>
        </w:rPr>
        <w:t>10.88</w:t>
      </w:r>
      <w:r>
        <w:rPr>
          <w:rFonts w:ascii="Times New Roman" w:eastAsia="Times New Roman"/>
        </w:rPr>
        <w:t xml:space="preserve"> </w:t>
      </w:r>
      <w:r>
        <w:t>万元，与年初预算相比</w:t>
      </w:r>
    </w:p>
    <w:p>
      <w:pPr>
        <w:pStyle w:val="5"/>
        <w:spacing w:before="149"/>
        <w:ind w:left="140"/>
      </w:pPr>
      <w:r>
        <w:t xml:space="preserve">减少 </w:t>
      </w:r>
      <w:r>
        <w:rPr>
          <w:rFonts w:ascii="Times New Roman" w:eastAsia="Times New Roman"/>
          <w:u w:val="single"/>
        </w:rPr>
        <w:t>0.26</w:t>
      </w:r>
      <w:r>
        <w:rPr>
          <w:rFonts w:ascii="Times New Roman" w:eastAsia="Times New Roman"/>
        </w:rPr>
        <w:t xml:space="preserve"> </w:t>
      </w:r>
      <w:r>
        <w:t>万元。其中：</w:t>
      </w:r>
    </w:p>
    <w:p>
      <w:pPr>
        <w:pStyle w:val="5"/>
        <w:spacing w:before="11"/>
        <w:rPr>
          <w:sz w:val="31"/>
        </w:rPr>
      </w:pPr>
    </w:p>
    <w:p>
      <w:pPr>
        <w:pStyle w:val="11"/>
        <w:numPr>
          <w:ilvl w:val="0"/>
          <w:numId w:val="5"/>
        </w:numPr>
        <w:tabs>
          <w:tab w:val="left" w:pos="1261"/>
        </w:tabs>
        <w:spacing w:before="0" w:after="0" w:line="364" w:lineRule="auto"/>
        <w:ind w:left="140" w:right="1254" w:firstLine="640"/>
        <w:jc w:val="left"/>
        <w:rPr>
          <w:rFonts w:hint="eastAsia" w:ascii="宋体" w:eastAsia="宋体"/>
          <w:sz w:val="30"/>
        </w:rPr>
      </w:pPr>
      <w:r>
        <w:rPr>
          <w:sz w:val="32"/>
        </w:rPr>
        <w:t>公共卫生（款）突发公共卫生事件应急处理（项）。</w:t>
      </w:r>
      <w:r>
        <w:rPr>
          <w:spacing w:val="-17"/>
          <w:sz w:val="32"/>
        </w:rPr>
        <w:t xml:space="preserve">年初预算 </w:t>
      </w:r>
      <w:r>
        <w:rPr>
          <w:rFonts w:hint="eastAsia" w:ascii="宋体" w:eastAsia="宋体"/>
          <w:sz w:val="32"/>
          <w:u w:val="single"/>
        </w:rPr>
        <w:t>0.00</w:t>
      </w:r>
      <w:r>
        <w:rPr>
          <w:rFonts w:hint="eastAsia" w:ascii="宋体" w:eastAsia="宋体"/>
          <w:spacing w:val="-81"/>
          <w:sz w:val="32"/>
        </w:rPr>
        <w:t xml:space="preserve"> </w:t>
      </w:r>
      <w:r>
        <w:rPr>
          <w:spacing w:val="-11"/>
          <w:sz w:val="32"/>
        </w:rPr>
        <w:t xml:space="preserve">万元，支出决算 </w:t>
      </w:r>
      <w:r>
        <w:rPr>
          <w:rFonts w:hint="eastAsia" w:ascii="宋体" w:eastAsia="宋体"/>
          <w:sz w:val="32"/>
          <w:u w:val="single"/>
        </w:rPr>
        <w:t>1.15</w:t>
      </w:r>
      <w:r>
        <w:rPr>
          <w:rFonts w:hint="eastAsia" w:ascii="宋体" w:eastAsia="宋体"/>
          <w:spacing w:val="-81"/>
          <w:sz w:val="32"/>
        </w:rPr>
        <w:t xml:space="preserve"> </w:t>
      </w:r>
      <w:r>
        <w:rPr>
          <w:sz w:val="32"/>
        </w:rPr>
        <w:t>万元，完成年初预算</w:t>
      </w:r>
    </w:p>
    <w:p>
      <w:pPr>
        <w:pStyle w:val="5"/>
        <w:tabs>
          <w:tab w:val="left" w:pos="780"/>
        </w:tabs>
        <w:spacing w:before="2" w:line="364" w:lineRule="auto"/>
        <w:ind w:left="140" w:right="1573"/>
      </w:pPr>
      <w:r>
        <w:t>的</w:t>
      </w:r>
      <w:r>
        <w:tab/>
      </w:r>
      <w:r>
        <w:rPr>
          <w:rFonts w:hint="eastAsia" w:ascii="宋体" w:eastAsia="宋体"/>
          <w:u w:val="single"/>
        </w:rPr>
        <w:t>100</w:t>
      </w:r>
      <w:r>
        <w:rPr>
          <w:rFonts w:hint="eastAsia" w:ascii="宋体" w:eastAsia="宋体"/>
          <w:spacing w:val="-10"/>
        </w:rPr>
        <w:t xml:space="preserve"> </w:t>
      </w:r>
      <w:r>
        <w:rPr>
          <w:rFonts w:hint="eastAsia" w:ascii="宋体" w:eastAsia="宋体"/>
        </w:rPr>
        <w:t>%</w:t>
      </w:r>
      <w:r>
        <w:t>。决算数与年初预算数的差异原因：年内拨入包联（小区）疫情防控经费。</w:t>
      </w:r>
    </w:p>
    <w:p>
      <w:pPr>
        <w:pStyle w:val="11"/>
        <w:numPr>
          <w:ilvl w:val="0"/>
          <w:numId w:val="5"/>
        </w:numPr>
        <w:tabs>
          <w:tab w:val="left" w:pos="1260"/>
        </w:tabs>
        <w:spacing w:before="121" w:after="0" w:line="364" w:lineRule="auto"/>
        <w:ind w:left="140" w:right="1575" w:firstLine="640"/>
        <w:jc w:val="left"/>
        <w:rPr>
          <w:rFonts w:hint="eastAsia" w:ascii="宋体" w:eastAsia="宋体"/>
          <w:sz w:val="30"/>
        </w:rPr>
      </w:pPr>
      <w:r>
        <w:rPr>
          <w:sz w:val="32"/>
        </w:rPr>
        <w:t>行政事业单位医疗（款）事业单位医疗（项）。年初预算</w:t>
      </w:r>
      <w:r>
        <w:rPr>
          <w:spacing w:val="154"/>
          <w:sz w:val="32"/>
          <w:u w:val="single"/>
        </w:rPr>
        <w:t xml:space="preserve"> </w:t>
      </w:r>
      <w:r>
        <w:rPr>
          <w:rFonts w:hint="eastAsia" w:ascii="宋体" w:eastAsia="宋体"/>
          <w:sz w:val="32"/>
          <w:u w:val="single"/>
        </w:rPr>
        <w:t>9.65</w:t>
      </w:r>
      <w:r>
        <w:rPr>
          <w:rFonts w:hint="eastAsia" w:ascii="宋体" w:eastAsia="宋体"/>
          <w:spacing w:val="-1"/>
          <w:sz w:val="32"/>
        </w:rPr>
        <w:t xml:space="preserve"> </w:t>
      </w:r>
      <w:r>
        <w:rPr>
          <w:spacing w:val="-11"/>
          <w:sz w:val="32"/>
        </w:rPr>
        <w:t xml:space="preserve">万元，支出决算 </w:t>
      </w:r>
      <w:r>
        <w:rPr>
          <w:rFonts w:hint="eastAsia" w:ascii="宋体" w:eastAsia="宋体"/>
          <w:sz w:val="32"/>
          <w:u w:val="single"/>
        </w:rPr>
        <w:t>8.44</w:t>
      </w:r>
      <w:r>
        <w:rPr>
          <w:rFonts w:hint="eastAsia" w:ascii="宋体" w:eastAsia="宋体"/>
          <w:spacing w:val="-81"/>
          <w:sz w:val="32"/>
        </w:rPr>
        <w:t xml:space="preserve"> </w:t>
      </w:r>
      <w:r>
        <w:rPr>
          <w:sz w:val="32"/>
        </w:rPr>
        <w:t>万元，完成年初预算的</w:t>
      </w:r>
      <w:r>
        <w:rPr>
          <w:spacing w:val="-11"/>
          <w:sz w:val="32"/>
          <w:u w:val="single"/>
        </w:rPr>
        <w:t xml:space="preserve"> </w:t>
      </w:r>
      <w:r>
        <w:rPr>
          <w:rFonts w:hint="eastAsia" w:ascii="宋体" w:eastAsia="宋体"/>
          <w:sz w:val="32"/>
          <w:u w:val="single"/>
        </w:rPr>
        <w:t>87.46</w:t>
      </w:r>
      <w:r>
        <w:rPr>
          <w:rFonts w:hint="eastAsia" w:ascii="宋体" w:eastAsia="宋体"/>
          <w:sz w:val="32"/>
        </w:rPr>
        <w:t>%</w:t>
      </w:r>
      <w:r>
        <w:rPr>
          <w:sz w:val="32"/>
        </w:rPr>
        <w:t>。决算数与年初预算数的差异原因：人员退休导致。</w:t>
      </w:r>
    </w:p>
    <w:p>
      <w:pPr>
        <w:pStyle w:val="5"/>
        <w:spacing w:before="11"/>
        <w:rPr>
          <w:sz w:val="23"/>
        </w:rPr>
      </w:pPr>
    </w:p>
    <w:p>
      <w:pPr>
        <w:pStyle w:val="11"/>
        <w:numPr>
          <w:ilvl w:val="0"/>
          <w:numId w:val="5"/>
        </w:numPr>
        <w:tabs>
          <w:tab w:val="left" w:pos="1273"/>
        </w:tabs>
        <w:spacing w:before="0" w:after="0" w:line="326" w:lineRule="auto"/>
        <w:ind w:left="140" w:right="1419" w:firstLine="640"/>
        <w:jc w:val="left"/>
        <w:rPr>
          <w:rFonts w:ascii="Times New Roman" w:eastAsia="Times New Roman"/>
          <w:sz w:val="30"/>
        </w:rPr>
      </w:pPr>
      <w:r>
        <w:rPr>
          <w:spacing w:val="7"/>
          <w:w w:val="95"/>
          <w:sz w:val="32"/>
        </w:rPr>
        <w:t>行政事业单位医疗（</w:t>
      </w:r>
      <w:r>
        <w:rPr>
          <w:spacing w:val="9"/>
          <w:w w:val="95"/>
          <w:sz w:val="32"/>
        </w:rPr>
        <w:t>款</w:t>
      </w:r>
      <w:r>
        <w:rPr>
          <w:spacing w:val="7"/>
          <w:w w:val="95"/>
          <w:sz w:val="32"/>
        </w:rPr>
        <w:t>）公务员医疗补助（项）</w:t>
      </w:r>
      <w:r>
        <w:rPr>
          <w:w w:val="95"/>
          <w:sz w:val="32"/>
        </w:rPr>
        <w:t xml:space="preserve">。 </w:t>
      </w:r>
      <w:r>
        <w:rPr>
          <w:spacing w:val="9"/>
          <w:sz w:val="32"/>
        </w:rPr>
        <w:t>年初预算</w:t>
      </w:r>
      <w:r>
        <w:rPr>
          <w:spacing w:val="-77"/>
          <w:sz w:val="32"/>
          <w:u w:val="single"/>
        </w:rPr>
        <w:t xml:space="preserve"> </w:t>
      </w:r>
      <w:r>
        <w:rPr>
          <w:rFonts w:ascii="Times New Roman" w:eastAsia="Times New Roman"/>
          <w:sz w:val="32"/>
          <w:u w:val="single"/>
        </w:rPr>
        <w:t>1.49</w:t>
      </w:r>
      <w:r>
        <w:rPr>
          <w:rFonts w:ascii="Times New Roman" w:eastAsia="Times New Roman"/>
          <w:spacing w:val="-12"/>
          <w:sz w:val="32"/>
        </w:rPr>
        <w:t xml:space="preserve"> </w:t>
      </w:r>
      <w:r>
        <w:rPr>
          <w:spacing w:val="-4"/>
          <w:sz w:val="32"/>
        </w:rPr>
        <w:t xml:space="preserve">万元，支出决算 </w:t>
      </w:r>
      <w:r>
        <w:rPr>
          <w:rFonts w:ascii="Times New Roman" w:eastAsia="Times New Roman"/>
          <w:sz w:val="30"/>
          <w:u w:val="single"/>
        </w:rPr>
        <w:t>1.29</w:t>
      </w:r>
      <w:r>
        <w:rPr>
          <w:rFonts w:ascii="Times New Roman" w:eastAsia="Times New Roman"/>
          <w:spacing w:val="-11"/>
          <w:sz w:val="30"/>
        </w:rPr>
        <w:t xml:space="preserve"> </w:t>
      </w:r>
      <w:r>
        <w:rPr>
          <w:spacing w:val="8"/>
          <w:sz w:val="32"/>
        </w:rPr>
        <w:t>万元，完成年初预算的</w:t>
      </w:r>
    </w:p>
    <w:p>
      <w:pPr>
        <w:pStyle w:val="11"/>
        <w:numPr>
          <w:ilvl w:val="1"/>
          <w:numId w:val="6"/>
        </w:numPr>
        <w:tabs>
          <w:tab w:val="left" w:pos="1021"/>
        </w:tabs>
        <w:spacing w:before="3" w:after="0" w:line="240" w:lineRule="auto"/>
        <w:ind w:left="1020" w:right="0" w:hanging="881"/>
        <w:jc w:val="left"/>
        <w:rPr>
          <w:sz w:val="32"/>
        </w:rPr>
      </w:pPr>
      <w:r>
        <w:rPr>
          <w:rFonts w:hint="eastAsia" w:ascii="宋体" w:eastAsia="宋体"/>
          <w:sz w:val="32"/>
        </w:rPr>
        <w:t>%</w:t>
      </w:r>
      <w:r>
        <w:rPr>
          <w:sz w:val="32"/>
        </w:rPr>
        <w:t>。决算数与年初预算数的差异原因：人员退休导致。</w:t>
      </w:r>
    </w:p>
    <w:p>
      <w:pPr>
        <w:pStyle w:val="5"/>
        <w:spacing w:before="7"/>
        <w:rPr>
          <w:sz w:val="33"/>
        </w:rPr>
      </w:pPr>
    </w:p>
    <w:p>
      <w:pPr>
        <w:pStyle w:val="3"/>
        <w:rPr>
          <w:rFonts w:hint="eastAsia" w:ascii="楷体" w:eastAsia="楷体"/>
        </w:rPr>
      </w:pPr>
      <w:r>
        <w:rPr>
          <w:rFonts w:hint="eastAsia" w:ascii="楷体" w:eastAsia="楷体"/>
        </w:rPr>
        <w:t>(三) 农林水支出 (类)</w:t>
      </w:r>
    </w:p>
    <w:p>
      <w:pPr>
        <w:pStyle w:val="5"/>
        <w:spacing w:before="7"/>
        <w:rPr>
          <w:rFonts w:ascii="楷体"/>
          <w:b/>
          <w:sz w:val="33"/>
        </w:rPr>
      </w:pPr>
    </w:p>
    <w:p>
      <w:pPr>
        <w:pStyle w:val="5"/>
        <w:spacing w:before="1"/>
        <w:ind w:left="780"/>
      </w:pPr>
      <w:r>
        <w:rPr>
          <w:spacing w:val="-2"/>
        </w:rPr>
        <w:t xml:space="preserve">农林水支出类决算数为 </w:t>
      </w:r>
      <w:r>
        <w:rPr>
          <w:rFonts w:hint="eastAsia" w:ascii="宋体" w:eastAsia="宋体"/>
          <w:u w:val="single"/>
        </w:rPr>
        <w:t>211.12</w:t>
      </w:r>
      <w:r>
        <w:rPr>
          <w:rFonts w:hint="eastAsia" w:ascii="宋体" w:eastAsia="宋体"/>
          <w:spacing w:val="-74"/>
        </w:rPr>
        <w:t xml:space="preserve"> </w:t>
      </w:r>
      <w:r>
        <w:rPr>
          <w:spacing w:val="6"/>
        </w:rPr>
        <w:t>万元，与年初预算相比</w:t>
      </w:r>
    </w:p>
    <w:p>
      <w:pPr>
        <w:pStyle w:val="5"/>
        <w:spacing w:before="151"/>
        <w:ind w:left="140"/>
      </w:pPr>
      <w:r>
        <w:t xml:space="preserve">增加 </w:t>
      </w:r>
      <w:r>
        <w:rPr>
          <w:rFonts w:ascii="Times New Roman" w:eastAsia="Times New Roman"/>
          <w:u w:val="single"/>
        </w:rPr>
        <w:t>5.69</w:t>
      </w:r>
      <w:r>
        <w:rPr>
          <w:rFonts w:ascii="Times New Roman" w:eastAsia="Times New Roman"/>
        </w:rPr>
        <w:t xml:space="preserve"> </w:t>
      </w:r>
      <w:r>
        <w:t>万元。其中：</w:t>
      </w:r>
    </w:p>
    <w:p>
      <w:pPr>
        <w:pStyle w:val="5"/>
        <w:spacing w:before="4"/>
      </w:pPr>
    </w:p>
    <w:p>
      <w:pPr>
        <w:pStyle w:val="11"/>
        <w:numPr>
          <w:ilvl w:val="2"/>
          <w:numId w:val="6"/>
        </w:numPr>
        <w:tabs>
          <w:tab w:val="left" w:pos="1195"/>
        </w:tabs>
        <w:spacing w:before="0" w:after="0" w:line="240" w:lineRule="auto"/>
        <w:ind w:left="1195" w:right="0" w:hanging="460"/>
        <w:jc w:val="left"/>
        <w:rPr>
          <w:sz w:val="29"/>
        </w:rPr>
      </w:pPr>
      <w:r>
        <w:rPr>
          <w:spacing w:val="-7"/>
          <w:sz w:val="31"/>
        </w:rPr>
        <w:t>农业农村 (款) 事业运行 (项) 。年初预算</w:t>
      </w:r>
      <w:r>
        <w:rPr>
          <w:sz w:val="31"/>
          <w:u w:val="single"/>
        </w:rPr>
        <w:t xml:space="preserve"> </w:t>
      </w:r>
      <w:r>
        <w:rPr>
          <w:spacing w:val="-3"/>
          <w:sz w:val="31"/>
          <w:u w:val="single"/>
        </w:rPr>
        <w:t>189.58</w:t>
      </w:r>
    </w:p>
    <w:p>
      <w:pPr>
        <w:pStyle w:val="5"/>
        <w:spacing w:before="3"/>
        <w:rPr>
          <w:sz w:val="13"/>
        </w:rPr>
      </w:pPr>
    </w:p>
    <w:p>
      <w:pPr>
        <w:spacing w:before="57" w:line="369" w:lineRule="auto"/>
        <w:ind w:left="140" w:right="1540" w:firstLine="0"/>
        <w:jc w:val="both"/>
        <w:rPr>
          <w:sz w:val="31"/>
        </w:rPr>
      </w:pPr>
      <w:r>
        <w:rPr>
          <w:sz w:val="31"/>
        </w:rPr>
        <w:t>万元，支出决算</w:t>
      </w:r>
      <w:r>
        <w:rPr>
          <w:sz w:val="31"/>
          <w:u w:val="single"/>
        </w:rPr>
        <w:t xml:space="preserve"> 195.27</w:t>
      </w:r>
      <w:r>
        <w:rPr>
          <w:sz w:val="31"/>
        </w:rPr>
        <w:t xml:space="preserve"> 万元，完成年初预算的</w:t>
      </w:r>
      <w:r>
        <w:rPr>
          <w:sz w:val="31"/>
          <w:u w:val="single"/>
        </w:rPr>
        <w:t xml:space="preserve"> 103 </w:t>
      </w:r>
      <w:r>
        <w:rPr>
          <w:sz w:val="31"/>
        </w:rPr>
        <w:t>%。决算数与年初预算数的差异原因：绩效工资、津贴补贴等</w:t>
      </w:r>
      <w:r>
        <w:rPr>
          <w:sz w:val="32"/>
        </w:rPr>
        <w:t>人员增资导致</w:t>
      </w:r>
      <w:r>
        <w:rPr>
          <w:sz w:val="31"/>
        </w:rPr>
        <w:t>。</w:t>
      </w:r>
    </w:p>
    <w:p>
      <w:pPr>
        <w:spacing w:after="0" w:line="369" w:lineRule="auto"/>
        <w:jc w:val="both"/>
        <w:rPr>
          <w:sz w:val="31"/>
        </w:rPr>
        <w:sectPr>
          <w:pgSz w:w="11920" w:h="16860"/>
          <w:pgMar w:top="1520" w:right="380" w:bottom="280" w:left="1660" w:header="720" w:footer="720" w:gutter="0"/>
          <w:pgBorders>
            <w:top w:val="none" w:sz="0" w:space="0"/>
            <w:left w:val="none" w:sz="0" w:space="0"/>
            <w:bottom w:val="none" w:sz="0" w:space="0"/>
            <w:right w:val="none" w:sz="0" w:space="0"/>
          </w:pgBorders>
          <w:cols w:space="720" w:num="1"/>
        </w:sectPr>
      </w:pPr>
    </w:p>
    <w:p>
      <w:pPr>
        <w:pStyle w:val="11"/>
        <w:numPr>
          <w:ilvl w:val="2"/>
          <w:numId w:val="6"/>
        </w:numPr>
        <w:tabs>
          <w:tab w:val="left" w:pos="1264"/>
        </w:tabs>
        <w:spacing w:before="39" w:after="0" w:line="328" w:lineRule="auto"/>
        <w:ind w:left="140" w:right="1418" w:firstLine="640"/>
        <w:jc w:val="both"/>
        <w:rPr>
          <w:rFonts w:hint="eastAsia" w:ascii="宋体" w:eastAsia="宋体"/>
          <w:sz w:val="30"/>
        </w:rPr>
      </w:pPr>
      <w:r>
        <w:rPr>
          <w:spacing w:val="-5"/>
          <w:sz w:val="31"/>
        </w:rPr>
        <w:t>农业农村 (款) 农村社会事业 (项)</w:t>
      </w:r>
      <w:r>
        <w:rPr>
          <w:spacing w:val="-14"/>
          <w:sz w:val="32"/>
        </w:rPr>
        <w:t xml:space="preserve">。年初预算 </w:t>
      </w:r>
      <w:r>
        <w:rPr>
          <w:rFonts w:ascii="Times New Roman" w:eastAsia="Times New Roman"/>
          <w:sz w:val="32"/>
          <w:u w:val="single"/>
        </w:rPr>
        <w:t xml:space="preserve">15.85 </w:t>
      </w:r>
      <w:r>
        <w:rPr>
          <w:spacing w:val="-10"/>
          <w:sz w:val="32"/>
        </w:rPr>
        <w:t xml:space="preserve">万元，支出决算 </w:t>
      </w:r>
      <w:r>
        <w:rPr>
          <w:rFonts w:hint="eastAsia" w:ascii="宋体" w:eastAsia="宋体"/>
          <w:sz w:val="32"/>
          <w:u w:val="single"/>
        </w:rPr>
        <w:t>15.85</w:t>
      </w:r>
      <w:r>
        <w:rPr>
          <w:rFonts w:hint="eastAsia" w:ascii="宋体" w:eastAsia="宋体"/>
          <w:spacing w:val="-76"/>
          <w:sz w:val="32"/>
        </w:rPr>
        <w:t xml:space="preserve"> </w:t>
      </w:r>
      <w:r>
        <w:rPr>
          <w:sz w:val="32"/>
        </w:rPr>
        <w:t>万元，完成年初预算的</w:t>
      </w:r>
      <w:r>
        <w:rPr>
          <w:spacing w:val="2"/>
          <w:sz w:val="32"/>
          <w:u w:val="single"/>
        </w:rPr>
        <w:t xml:space="preserve"> </w:t>
      </w:r>
      <w:r>
        <w:rPr>
          <w:rFonts w:ascii="Times New Roman" w:eastAsia="Times New Roman"/>
          <w:sz w:val="32"/>
          <w:u w:val="single"/>
        </w:rPr>
        <w:t>100</w:t>
      </w:r>
      <w:r>
        <w:rPr>
          <w:rFonts w:ascii="Times New Roman" w:eastAsia="Times New Roman"/>
          <w:sz w:val="32"/>
        </w:rPr>
        <w:t xml:space="preserve"> </w:t>
      </w:r>
      <w:r>
        <w:rPr>
          <w:rFonts w:hint="eastAsia" w:ascii="宋体" w:eastAsia="宋体"/>
          <w:spacing w:val="3"/>
          <w:sz w:val="32"/>
        </w:rPr>
        <w:t>%</w:t>
      </w:r>
      <w:r>
        <w:rPr>
          <w:spacing w:val="1"/>
          <w:sz w:val="32"/>
        </w:rPr>
        <w:t>。决算</w:t>
      </w:r>
      <w:r>
        <w:rPr>
          <w:spacing w:val="24"/>
          <w:w w:val="95"/>
          <w:sz w:val="32"/>
        </w:rPr>
        <w:t xml:space="preserve">数与年初预算数的差异原因：无差异，项目经费开支完 </w:t>
      </w:r>
      <w:r>
        <w:rPr>
          <w:sz w:val="32"/>
        </w:rPr>
        <w:t>成。</w:t>
      </w:r>
    </w:p>
    <w:p>
      <w:pPr>
        <w:pStyle w:val="3"/>
        <w:spacing w:before="273"/>
        <w:rPr>
          <w:rFonts w:hint="eastAsia" w:ascii="楷体" w:eastAsia="楷体"/>
        </w:rPr>
      </w:pPr>
      <w:r>
        <w:rPr>
          <w:rFonts w:hint="eastAsia" w:ascii="楷体" w:eastAsia="楷体"/>
        </w:rPr>
        <w:t>（四）住房保障支出（类）</w:t>
      </w:r>
    </w:p>
    <w:p>
      <w:pPr>
        <w:pStyle w:val="5"/>
        <w:spacing w:before="7"/>
        <w:rPr>
          <w:rFonts w:ascii="楷体"/>
          <w:b/>
          <w:sz w:val="33"/>
        </w:rPr>
      </w:pPr>
    </w:p>
    <w:p>
      <w:pPr>
        <w:pStyle w:val="5"/>
        <w:ind w:left="780"/>
      </w:pPr>
      <w:r>
        <w:t xml:space="preserve">住房保障支出类决算数为 </w:t>
      </w:r>
      <w:r>
        <w:rPr>
          <w:rFonts w:ascii="Times New Roman" w:eastAsia="Times New Roman"/>
          <w:u w:val="single"/>
        </w:rPr>
        <w:t>17.82</w:t>
      </w:r>
      <w:r>
        <w:rPr>
          <w:rFonts w:ascii="Times New Roman" w:eastAsia="Times New Roman"/>
        </w:rPr>
        <w:t xml:space="preserve"> </w:t>
      </w:r>
      <w:r>
        <w:t>万元，与年初预算相比</w:t>
      </w:r>
    </w:p>
    <w:p>
      <w:pPr>
        <w:pStyle w:val="5"/>
        <w:spacing w:before="149"/>
        <w:ind w:left="140"/>
      </w:pPr>
      <w:r>
        <w:t xml:space="preserve">增加 </w:t>
      </w:r>
      <w:r>
        <w:rPr>
          <w:rFonts w:ascii="Times New Roman" w:eastAsia="Times New Roman"/>
          <w:u w:val="single"/>
        </w:rPr>
        <w:t>0.24</w:t>
      </w:r>
      <w:r>
        <w:rPr>
          <w:rFonts w:ascii="Times New Roman" w:eastAsia="Times New Roman"/>
        </w:rPr>
        <w:t xml:space="preserve"> </w:t>
      </w:r>
      <w:r>
        <w:t>万元。其中：</w:t>
      </w:r>
    </w:p>
    <w:p>
      <w:pPr>
        <w:pStyle w:val="5"/>
        <w:spacing w:before="7"/>
        <w:rPr>
          <w:sz w:val="33"/>
        </w:rPr>
      </w:pPr>
    </w:p>
    <w:p>
      <w:pPr>
        <w:pStyle w:val="11"/>
        <w:numPr>
          <w:ilvl w:val="0"/>
          <w:numId w:val="7"/>
        </w:numPr>
        <w:tabs>
          <w:tab w:val="left" w:pos="1261"/>
        </w:tabs>
        <w:spacing w:before="0" w:after="0" w:line="328" w:lineRule="auto"/>
        <w:ind w:left="140" w:right="1335" w:firstLine="640"/>
        <w:jc w:val="both"/>
        <w:rPr>
          <w:sz w:val="32"/>
        </w:rPr>
      </w:pPr>
      <w:r>
        <w:rPr>
          <w:spacing w:val="24"/>
          <w:sz w:val="32"/>
        </w:rPr>
        <w:t>住房改革支出</w:t>
      </w:r>
      <w:r>
        <w:rPr>
          <w:spacing w:val="26"/>
          <w:sz w:val="32"/>
        </w:rPr>
        <w:t>（</w:t>
      </w:r>
      <w:r>
        <w:rPr>
          <w:spacing w:val="24"/>
          <w:sz w:val="32"/>
        </w:rPr>
        <w:t>款）住房公积金（</w:t>
      </w:r>
      <w:r>
        <w:rPr>
          <w:spacing w:val="26"/>
          <w:sz w:val="32"/>
        </w:rPr>
        <w:t>项</w:t>
      </w:r>
      <w:r>
        <w:rPr>
          <w:spacing w:val="24"/>
          <w:sz w:val="32"/>
        </w:rPr>
        <w:t>）</w:t>
      </w:r>
      <w:r>
        <w:rPr>
          <w:spacing w:val="18"/>
          <w:sz w:val="32"/>
        </w:rPr>
        <w:t>。年初预算</w:t>
      </w:r>
      <w:r>
        <w:rPr>
          <w:spacing w:val="39"/>
          <w:sz w:val="32"/>
          <w:u w:val="single"/>
        </w:rPr>
        <w:t xml:space="preserve"> </w:t>
      </w:r>
      <w:r>
        <w:rPr>
          <w:rFonts w:ascii="Times New Roman" w:eastAsia="Times New Roman"/>
          <w:sz w:val="32"/>
          <w:u w:val="single"/>
        </w:rPr>
        <w:t>15.63</w:t>
      </w:r>
      <w:r>
        <w:rPr>
          <w:rFonts w:ascii="Times New Roman" w:eastAsia="Times New Roman"/>
          <w:spacing w:val="57"/>
          <w:sz w:val="32"/>
        </w:rPr>
        <w:t xml:space="preserve"> </w:t>
      </w:r>
      <w:r>
        <w:rPr>
          <w:spacing w:val="20"/>
          <w:sz w:val="32"/>
        </w:rPr>
        <w:t xml:space="preserve">万元， 支出决算 </w:t>
      </w:r>
      <w:r>
        <w:rPr>
          <w:rFonts w:ascii="Times New Roman" w:eastAsia="Times New Roman"/>
          <w:sz w:val="30"/>
          <w:u w:val="single"/>
        </w:rPr>
        <w:t>15.77</w:t>
      </w:r>
      <w:r>
        <w:rPr>
          <w:rFonts w:ascii="Times New Roman" w:eastAsia="Times New Roman"/>
          <w:spacing w:val="44"/>
          <w:sz w:val="30"/>
        </w:rPr>
        <w:t xml:space="preserve"> </w:t>
      </w:r>
      <w:r>
        <w:rPr>
          <w:spacing w:val="32"/>
          <w:sz w:val="32"/>
        </w:rPr>
        <w:t>万元， 完成年初预算的</w:t>
      </w:r>
      <w:r>
        <w:rPr>
          <w:spacing w:val="-6"/>
          <w:sz w:val="32"/>
          <w:u w:val="single"/>
        </w:rPr>
        <w:t xml:space="preserve"> </w:t>
      </w:r>
      <w:r>
        <w:rPr>
          <w:rFonts w:ascii="Times New Roman" w:eastAsia="Times New Roman"/>
          <w:sz w:val="32"/>
          <w:u w:val="single"/>
        </w:rPr>
        <w:t>100.90</w:t>
      </w:r>
      <w:r>
        <w:rPr>
          <w:rFonts w:ascii="Times New Roman" w:eastAsia="Times New Roman"/>
          <w:spacing w:val="74"/>
          <w:sz w:val="32"/>
        </w:rPr>
        <w:t xml:space="preserve"> </w:t>
      </w:r>
      <w:r>
        <w:rPr>
          <w:rFonts w:hint="eastAsia" w:ascii="宋体" w:eastAsia="宋体"/>
          <w:sz w:val="32"/>
        </w:rPr>
        <w:t>%</w:t>
      </w:r>
      <w:r>
        <w:rPr>
          <w:sz w:val="32"/>
        </w:rPr>
        <w:t>。决算数与年初预算数的差异原因：工资调整， 公积金基数调整导致。</w:t>
      </w:r>
    </w:p>
    <w:p>
      <w:pPr>
        <w:pStyle w:val="11"/>
        <w:numPr>
          <w:ilvl w:val="0"/>
          <w:numId w:val="7"/>
        </w:numPr>
        <w:tabs>
          <w:tab w:val="left" w:pos="1260"/>
        </w:tabs>
        <w:spacing w:before="252" w:after="0" w:line="240" w:lineRule="auto"/>
        <w:ind w:left="1259" w:right="0" w:hanging="480"/>
        <w:jc w:val="left"/>
        <w:rPr>
          <w:sz w:val="32"/>
        </w:rPr>
      </w:pPr>
      <w:r>
        <w:rPr>
          <w:sz w:val="32"/>
        </w:rPr>
        <w:t>住房改革支出（款）购房补贴（项）。年初预算</w:t>
      </w:r>
    </w:p>
    <w:p>
      <w:pPr>
        <w:pStyle w:val="5"/>
        <w:spacing w:before="214" w:line="364" w:lineRule="auto"/>
        <w:ind w:left="140" w:right="1333"/>
      </w:pPr>
      <w:r>
        <w:rPr>
          <w:rFonts w:hint="eastAsia" w:ascii="宋体" w:eastAsia="宋体"/>
          <w:u w:val="single"/>
        </w:rPr>
        <w:t>1.95</w:t>
      </w:r>
      <w:r>
        <w:rPr>
          <w:rFonts w:hint="eastAsia" w:ascii="宋体" w:eastAsia="宋体"/>
          <w:spacing w:val="-82"/>
        </w:rPr>
        <w:t xml:space="preserve"> </w:t>
      </w:r>
      <w:r>
        <w:rPr>
          <w:spacing w:val="-1"/>
        </w:rPr>
        <w:t xml:space="preserve">万元，支出决算 </w:t>
      </w:r>
      <w:r>
        <w:rPr>
          <w:rFonts w:hint="eastAsia" w:ascii="宋体" w:eastAsia="宋体"/>
          <w:u w:val="single"/>
        </w:rPr>
        <w:t>2.05</w:t>
      </w:r>
      <w:r>
        <w:rPr>
          <w:rFonts w:hint="eastAsia" w:ascii="宋体" w:eastAsia="宋体"/>
          <w:spacing w:val="-82"/>
        </w:rPr>
        <w:t xml:space="preserve"> </w:t>
      </w:r>
      <w:r>
        <w:rPr>
          <w:spacing w:val="-9"/>
        </w:rPr>
        <w:t xml:space="preserve">万元，完成年初预算 </w:t>
      </w:r>
      <w:r>
        <w:rPr>
          <w:rFonts w:hint="eastAsia" w:ascii="宋体" w:eastAsia="宋体"/>
          <w:u w:val="single"/>
        </w:rPr>
        <w:t>105.13</w:t>
      </w:r>
      <w:r>
        <w:rPr>
          <w:rFonts w:hint="eastAsia" w:ascii="宋体" w:eastAsia="宋体"/>
          <w:spacing w:val="-3"/>
          <w:u w:val="single"/>
        </w:rPr>
        <w:t xml:space="preserve"> %</w:t>
      </w:r>
      <w:r>
        <w:t>。</w:t>
      </w:r>
      <w:r>
        <w:rPr>
          <w:spacing w:val="-2"/>
        </w:rPr>
        <w:t xml:space="preserve">决算数与年初预算数的差异原因：年内转录 </w:t>
      </w:r>
      <w:r>
        <w:t>1</w:t>
      </w:r>
      <w:r>
        <w:rPr>
          <w:spacing w:val="-7"/>
        </w:rPr>
        <w:t xml:space="preserve"> 人，此项增大。</w:t>
      </w:r>
    </w:p>
    <w:p>
      <w:pPr>
        <w:pStyle w:val="5"/>
        <w:spacing w:before="10"/>
        <w:rPr>
          <w:sz w:val="23"/>
        </w:rPr>
      </w:pPr>
    </w:p>
    <w:p>
      <w:pPr>
        <w:pStyle w:val="3"/>
      </w:pPr>
      <w:r>
        <w:t>六、一般公共预算基本支出决算情况说明</w:t>
      </w:r>
    </w:p>
    <w:p>
      <w:pPr>
        <w:pStyle w:val="5"/>
        <w:spacing w:before="7"/>
        <w:rPr>
          <w:rFonts w:ascii="黑体"/>
          <w:b/>
          <w:sz w:val="33"/>
        </w:rPr>
      </w:pPr>
    </w:p>
    <w:p>
      <w:pPr>
        <w:pStyle w:val="5"/>
        <w:ind w:left="780"/>
      </w:pPr>
      <w:r>
        <w:rPr>
          <w:spacing w:val="2"/>
        </w:rPr>
        <w:t xml:space="preserve">锡林郭勒盟农村牧区社会事业发展中心单位 </w:t>
      </w:r>
      <w:r>
        <w:rPr>
          <w:rFonts w:hint="eastAsia" w:ascii="宋体" w:eastAsia="宋体"/>
        </w:rPr>
        <w:t>2022</w:t>
      </w:r>
      <w:r>
        <w:rPr>
          <w:rFonts w:hint="eastAsia" w:ascii="宋体" w:eastAsia="宋体"/>
          <w:spacing w:val="-74"/>
        </w:rPr>
        <w:t xml:space="preserve"> </w:t>
      </w:r>
      <w:r>
        <w:rPr>
          <w:spacing w:val="3"/>
        </w:rPr>
        <w:t>年度</w:t>
      </w:r>
    </w:p>
    <w:p>
      <w:pPr>
        <w:pStyle w:val="5"/>
        <w:spacing w:before="149"/>
        <w:ind w:left="140"/>
      </w:pPr>
      <w:r>
        <w:t xml:space="preserve">一般公共预算财政拨款基本支出决算 </w:t>
      </w:r>
      <w:r>
        <w:rPr>
          <w:rFonts w:ascii="Times New Roman" w:eastAsia="Times New Roman"/>
          <w:u w:val="single"/>
        </w:rPr>
        <w:t>251.50</w:t>
      </w:r>
      <w:r>
        <w:rPr>
          <w:rFonts w:ascii="Times New Roman" w:eastAsia="Times New Roman"/>
        </w:rPr>
        <w:t xml:space="preserve"> </w:t>
      </w:r>
      <w:r>
        <w:t>万元，其中：</w:t>
      </w:r>
    </w:p>
    <w:p>
      <w:pPr>
        <w:pStyle w:val="5"/>
        <w:spacing w:before="7"/>
        <w:rPr>
          <w:sz w:val="33"/>
        </w:rPr>
      </w:pPr>
    </w:p>
    <w:p>
      <w:pPr>
        <w:spacing w:before="1"/>
        <w:ind w:left="0" w:right="1419" w:firstLine="0"/>
        <w:jc w:val="right"/>
        <w:rPr>
          <w:sz w:val="32"/>
        </w:rPr>
      </w:pPr>
      <w:r>
        <w:rPr>
          <w:b/>
          <w:sz w:val="32"/>
        </w:rPr>
        <w:t>（</w:t>
      </w:r>
      <w:r>
        <w:rPr>
          <w:b/>
          <w:spacing w:val="-52"/>
          <w:sz w:val="32"/>
        </w:rPr>
        <w:t xml:space="preserve"> 一</w:t>
      </w:r>
      <w:r>
        <w:rPr>
          <w:b/>
          <w:sz w:val="32"/>
        </w:rPr>
        <w:t>）</w:t>
      </w:r>
      <w:r>
        <w:rPr>
          <w:b/>
          <w:spacing w:val="-18"/>
          <w:sz w:val="32"/>
        </w:rPr>
        <w:t xml:space="preserve"> 人员经费 </w:t>
      </w:r>
      <w:r>
        <w:rPr>
          <w:rFonts w:ascii="Times New Roman" w:eastAsia="Times New Roman"/>
          <w:b/>
          <w:sz w:val="32"/>
          <w:u w:val="thick"/>
        </w:rPr>
        <w:t>241.55</w:t>
      </w:r>
      <w:r>
        <w:rPr>
          <w:rFonts w:ascii="Times New Roman" w:eastAsia="Times New Roman"/>
          <w:b/>
          <w:spacing w:val="6"/>
          <w:sz w:val="32"/>
        </w:rPr>
        <w:t xml:space="preserve"> </w:t>
      </w:r>
      <w:r>
        <w:rPr>
          <w:b/>
          <w:spacing w:val="31"/>
          <w:sz w:val="32"/>
        </w:rPr>
        <w:t>万元</w:t>
      </w:r>
      <w:r>
        <w:rPr>
          <w:spacing w:val="8"/>
          <w:sz w:val="32"/>
        </w:rPr>
        <w:t>。主要包括： 基本工资</w:t>
      </w:r>
    </w:p>
    <w:p>
      <w:pPr>
        <w:pStyle w:val="5"/>
        <w:spacing w:before="149"/>
        <w:ind w:right="1419"/>
        <w:jc w:val="right"/>
      </w:pPr>
      <w:r>
        <w:rPr>
          <w:rFonts w:hint="eastAsia" w:ascii="宋体" w:eastAsia="宋体"/>
        </w:rPr>
        <w:t>67.97</w:t>
      </w:r>
      <w:r>
        <w:rPr>
          <w:rFonts w:hint="eastAsia" w:ascii="宋体" w:eastAsia="宋体"/>
          <w:spacing w:val="-83"/>
        </w:rPr>
        <w:t xml:space="preserve"> </w:t>
      </w:r>
      <w:r>
        <w:rPr>
          <w:spacing w:val="-7"/>
        </w:rPr>
        <w:t xml:space="preserve">万元、津贴补贴 </w:t>
      </w:r>
      <w:r>
        <w:rPr>
          <w:rFonts w:hint="eastAsia" w:ascii="宋体" w:eastAsia="宋体"/>
        </w:rPr>
        <w:t>35.55</w:t>
      </w:r>
      <w:r>
        <w:rPr>
          <w:rFonts w:hint="eastAsia" w:ascii="宋体" w:eastAsia="宋体"/>
          <w:spacing w:val="-79"/>
        </w:rPr>
        <w:t xml:space="preserve"> </w:t>
      </w:r>
      <w:r>
        <w:rPr>
          <w:spacing w:val="-11"/>
        </w:rPr>
        <w:t xml:space="preserve">万元、奖金 </w:t>
      </w:r>
      <w:r>
        <w:rPr>
          <w:rFonts w:hint="eastAsia" w:ascii="宋体" w:eastAsia="宋体"/>
        </w:rPr>
        <w:t>19.07</w:t>
      </w:r>
      <w:r>
        <w:rPr>
          <w:rFonts w:hint="eastAsia" w:ascii="宋体" w:eastAsia="宋体"/>
          <w:spacing w:val="-82"/>
        </w:rPr>
        <w:t xml:space="preserve"> </w:t>
      </w:r>
      <w:r>
        <w:rPr>
          <w:spacing w:val="4"/>
        </w:rPr>
        <w:t>万元、绩效</w:t>
      </w:r>
    </w:p>
    <w:p>
      <w:pPr>
        <w:spacing w:after="0"/>
        <w:jc w:val="right"/>
        <w:sectPr>
          <w:pgSz w:w="11920" w:h="16860"/>
          <w:pgMar w:top="1520" w:right="380" w:bottom="280" w:left="1660" w:header="720" w:footer="720" w:gutter="0"/>
          <w:pgBorders>
            <w:top w:val="none" w:sz="0" w:space="0"/>
            <w:left w:val="none" w:sz="0" w:space="0"/>
            <w:bottom w:val="none" w:sz="0" w:space="0"/>
            <w:right w:val="none" w:sz="0" w:space="0"/>
          </w:pgBorders>
          <w:cols w:space="720" w:num="1"/>
        </w:sectPr>
      </w:pPr>
    </w:p>
    <w:p>
      <w:pPr>
        <w:pStyle w:val="5"/>
        <w:spacing w:before="39"/>
        <w:ind w:left="140"/>
        <w:jc w:val="both"/>
        <w:rPr>
          <w:rFonts w:hint="eastAsia" w:ascii="宋体" w:eastAsia="宋体"/>
        </w:rPr>
      </w:pPr>
      <w:r>
        <w:rPr>
          <w:spacing w:val="-17"/>
        </w:rPr>
        <w:t xml:space="preserve">工资 </w:t>
      </w:r>
      <w:r>
        <w:rPr>
          <w:rFonts w:hint="eastAsia" w:ascii="宋体" w:eastAsia="宋体"/>
        </w:rPr>
        <w:t>41.42</w:t>
      </w:r>
      <w:r>
        <w:rPr>
          <w:rFonts w:hint="eastAsia" w:ascii="宋体" w:eastAsia="宋体"/>
          <w:spacing w:val="-68"/>
        </w:rPr>
        <w:t xml:space="preserve"> </w:t>
      </w:r>
      <w:r>
        <w:rPr>
          <w:spacing w:val="12"/>
        </w:rPr>
        <w:t xml:space="preserve">万元、机关事业单位基本养老保险缴费 </w:t>
      </w:r>
      <w:r>
        <w:rPr>
          <w:rFonts w:hint="eastAsia" w:ascii="宋体" w:eastAsia="宋体"/>
        </w:rPr>
        <w:t>20.34</w:t>
      </w:r>
    </w:p>
    <w:p>
      <w:pPr>
        <w:pStyle w:val="5"/>
        <w:spacing w:before="149"/>
        <w:ind w:left="140"/>
        <w:jc w:val="both"/>
      </w:pPr>
      <w:r>
        <w:rPr>
          <w:spacing w:val="9"/>
        </w:rPr>
        <w:t xml:space="preserve">万元、职业年金缴费 </w:t>
      </w:r>
      <w:r>
        <w:rPr>
          <w:rFonts w:hint="eastAsia" w:ascii="宋体" w:eastAsia="宋体"/>
        </w:rPr>
        <w:t>7.22</w:t>
      </w:r>
      <w:r>
        <w:rPr>
          <w:rFonts w:hint="eastAsia" w:ascii="宋体" w:eastAsia="宋体"/>
          <w:spacing w:val="-70"/>
        </w:rPr>
        <w:t xml:space="preserve"> </w:t>
      </w:r>
      <w:r>
        <w:rPr>
          <w:spacing w:val="19"/>
        </w:rPr>
        <w:t>万元、职工基本医疗保险缴费</w:t>
      </w:r>
    </w:p>
    <w:p>
      <w:pPr>
        <w:pStyle w:val="5"/>
        <w:spacing w:before="149" w:line="328" w:lineRule="auto"/>
        <w:ind w:left="140" w:right="1414"/>
        <w:jc w:val="both"/>
      </w:pPr>
      <w:r>
        <w:rPr>
          <w:rFonts w:hint="eastAsia" w:ascii="宋体" w:eastAsia="宋体"/>
        </w:rPr>
        <w:t>7.65</w:t>
      </w:r>
      <w:r>
        <w:rPr>
          <w:rFonts w:hint="eastAsia" w:ascii="宋体" w:eastAsia="宋体"/>
          <w:spacing w:val="-83"/>
        </w:rPr>
        <w:t xml:space="preserve"> </w:t>
      </w:r>
      <w:r>
        <w:rPr>
          <w:spacing w:val="-7"/>
        </w:rPr>
        <w:t xml:space="preserve">万元、公务员医疗补助缴费 </w:t>
      </w:r>
      <w:r>
        <w:rPr>
          <w:rFonts w:hint="eastAsia" w:ascii="宋体" w:eastAsia="宋体"/>
        </w:rPr>
        <w:t>1.18</w:t>
      </w:r>
      <w:r>
        <w:rPr>
          <w:rFonts w:hint="eastAsia" w:ascii="宋体" w:eastAsia="宋体"/>
          <w:spacing w:val="-82"/>
        </w:rPr>
        <w:t xml:space="preserve"> </w:t>
      </w:r>
      <w:r>
        <w:rPr>
          <w:spacing w:val="1"/>
        </w:rPr>
        <w:t>万元、其他社会保障</w:t>
      </w:r>
      <w:r>
        <w:rPr>
          <w:spacing w:val="-24"/>
        </w:rPr>
        <w:t xml:space="preserve">缴费 </w:t>
      </w:r>
      <w:r>
        <w:rPr>
          <w:rFonts w:hint="eastAsia" w:ascii="宋体" w:eastAsia="宋体"/>
        </w:rPr>
        <w:t>1.50</w:t>
      </w:r>
      <w:r>
        <w:rPr>
          <w:rFonts w:hint="eastAsia" w:ascii="宋体" w:eastAsia="宋体"/>
          <w:spacing w:val="-78"/>
        </w:rPr>
        <w:t xml:space="preserve"> </w:t>
      </w:r>
      <w:r>
        <w:rPr>
          <w:spacing w:val="-4"/>
        </w:rPr>
        <w:t xml:space="preserve">万元、住房公积金 </w:t>
      </w:r>
      <w:r>
        <w:rPr>
          <w:rFonts w:hint="eastAsia" w:ascii="宋体" w:eastAsia="宋体"/>
        </w:rPr>
        <w:t>15.77</w:t>
      </w:r>
      <w:r>
        <w:rPr>
          <w:rFonts w:hint="eastAsia" w:ascii="宋体" w:eastAsia="宋体"/>
          <w:spacing w:val="-80"/>
        </w:rPr>
        <w:t xml:space="preserve"> </w:t>
      </w:r>
      <w:r>
        <w:rPr>
          <w:spacing w:val="6"/>
        </w:rPr>
        <w:t>万元、其他工资福利支</w:t>
      </w:r>
      <w:r>
        <w:rPr>
          <w:spacing w:val="-38"/>
        </w:rPr>
        <w:t xml:space="preserve">出 </w:t>
      </w:r>
      <w:r>
        <w:rPr>
          <w:rFonts w:hint="eastAsia" w:ascii="宋体" w:eastAsia="宋体"/>
        </w:rPr>
        <w:t>21.91</w:t>
      </w:r>
      <w:r>
        <w:rPr>
          <w:rFonts w:hint="eastAsia" w:ascii="宋体" w:eastAsia="宋体"/>
          <w:spacing w:val="-85"/>
        </w:rPr>
        <w:t xml:space="preserve"> </w:t>
      </w:r>
      <w:r>
        <w:rPr>
          <w:spacing w:val="-12"/>
        </w:rPr>
        <w:t xml:space="preserve">万元、退休费 </w:t>
      </w:r>
      <w:r>
        <w:rPr>
          <w:rFonts w:hint="eastAsia" w:ascii="宋体" w:eastAsia="宋体"/>
        </w:rPr>
        <w:t>1.13</w:t>
      </w:r>
      <w:r>
        <w:rPr>
          <w:rFonts w:hint="eastAsia" w:ascii="宋体" w:eastAsia="宋体"/>
          <w:spacing w:val="-83"/>
        </w:rPr>
        <w:t xml:space="preserve"> </w:t>
      </w:r>
      <w:r>
        <w:rPr>
          <w:spacing w:val="-9"/>
        </w:rPr>
        <w:t xml:space="preserve">万元、医疗费补助 </w:t>
      </w:r>
      <w:r>
        <w:rPr>
          <w:rFonts w:hint="eastAsia" w:ascii="宋体" w:eastAsia="宋体"/>
        </w:rPr>
        <w:t>0.85</w:t>
      </w:r>
      <w:r>
        <w:rPr>
          <w:rFonts w:hint="eastAsia" w:ascii="宋体" w:eastAsia="宋体"/>
          <w:spacing w:val="-83"/>
        </w:rPr>
        <w:t xml:space="preserve"> </w:t>
      </w:r>
      <w:r>
        <w:t>万元。</w:t>
      </w:r>
    </w:p>
    <w:p>
      <w:pPr>
        <w:spacing w:before="276"/>
        <w:ind w:left="0" w:right="1419" w:firstLine="0"/>
        <w:jc w:val="right"/>
        <w:rPr>
          <w:sz w:val="32"/>
        </w:rPr>
      </w:pPr>
      <w:r>
        <w:rPr>
          <w:b/>
          <w:spacing w:val="5"/>
          <w:sz w:val="32"/>
        </w:rPr>
        <w:t>（</w:t>
      </w:r>
      <w:r>
        <w:rPr>
          <w:b/>
          <w:spacing w:val="7"/>
          <w:sz w:val="32"/>
        </w:rPr>
        <w:t>二</w:t>
      </w:r>
      <w:r>
        <w:rPr>
          <w:b/>
          <w:spacing w:val="5"/>
          <w:sz w:val="32"/>
        </w:rPr>
        <w:t>）</w:t>
      </w:r>
      <w:r>
        <w:rPr>
          <w:b/>
          <w:spacing w:val="-15"/>
          <w:sz w:val="32"/>
        </w:rPr>
        <w:t xml:space="preserve">公用经费 </w:t>
      </w:r>
      <w:r>
        <w:rPr>
          <w:rFonts w:ascii="Times New Roman" w:eastAsia="Times New Roman"/>
          <w:b/>
          <w:sz w:val="32"/>
          <w:u w:val="thick"/>
        </w:rPr>
        <w:t>9.95</w:t>
      </w:r>
      <w:r>
        <w:rPr>
          <w:rFonts w:ascii="Times New Roman" w:eastAsia="Times New Roman"/>
          <w:b/>
          <w:spacing w:val="-14"/>
          <w:sz w:val="32"/>
        </w:rPr>
        <w:t xml:space="preserve"> </w:t>
      </w:r>
      <w:r>
        <w:rPr>
          <w:b/>
          <w:spacing w:val="5"/>
          <w:sz w:val="32"/>
        </w:rPr>
        <w:t>万元</w:t>
      </w:r>
      <w:r>
        <w:rPr>
          <w:spacing w:val="-7"/>
          <w:sz w:val="32"/>
        </w:rPr>
        <w:t xml:space="preserve">。主要包括：办公费 </w:t>
      </w:r>
      <w:r>
        <w:rPr>
          <w:rFonts w:hint="eastAsia" w:ascii="宋体" w:eastAsia="宋体"/>
          <w:sz w:val="32"/>
        </w:rPr>
        <w:t>1.66</w:t>
      </w:r>
      <w:r>
        <w:rPr>
          <w:rFonts w:hint="eastAsia" w:ascii="宋体" w:eastAsia="宋体"/>
          <w:spacing w:val="-83"/>
          <w:sz w:val="32"/>
        </w:rPr>
        <w:t xml:space="preserve"> </w:t>
      </w:r>
      <w:r>
        <w:rPr>
          <w:sz w:val="32"/>
        </w:rPr>
        <w:t>万</w:t>
      </w:r>
    </w:p>
    <w:p>
      <w:pPr>
        <w:pStyle w:val="5"/>
        <w:spacing w:before="149"/>
        <w:ind w:right="1418"/>
        <w:jc w:val="right"/>
        <w:rPr>
          <w:rFonts w:hint="eastAsia" w:ascii="宋体" w:eastAsia="宋体"/>
        </w:rPr>
      </w:pPr>
      <w:r>
        <w:rPr>
          <w:spacing w:val="-5"/>
        </w:rPr>
        <w:t xml:space="preserve">元、手续费 </w:t>
      </w:r>
      <w:r>
        <w:rPr>
          <w:rFonts w:hint="eastAsia" w:ascii="宋体" w:eastAsia="宋体"/>
        </w:rPr>
        <w:t>0.04</w:t>
      </w:r>
      <w:r>
        <w:rPr>
          <w:rFonts w:hint="eastAsia" w:ascii="宋体" w:eastAsia="宋体"/>
          <w:spacing w:val="-73"/>
        </w:rPr>
        <w:t xml:space="preserve"> </w:t>
      </w:r>
      <w:r>
        <w:rPr>
          <w:spacing w:val="-1"/>
        </w:rPr>
        <w:t xml:space="preserve">万元、工会经费 </w:t>
      </w:r>
      <w:r>
        <w:rPr>
          <w:rFonts w:hint="eastAsia" w:ascii="宋体" w:eastAsia="宋体"/>
        </w:rPr>
        <w:t>2.59</w:t>
      </w:r>
      <w:r>
        <w:rPr>
          <w:rFonts w:hint="eastAsia" w:ascii="宋体" w:eastAsia="宋体"/>
          <w:spacing w:val="-73"/>
        </w:rPr>
        <w:t xml:space="preserve"> </w:t>
      </w:r>
      <w:r>
        <w:rPr>
          <w:spacing w:val="-2"/>
        </w:rPr>
        <w:t xml:space="preserve">万元、福利费 </w:t>
      </w:r>
      <w:r>
        <w:rPr>
          <w:rFonts w:hint="eastAsia" w:ascii="宋体" w:eastAsia="宋体"/>
        </w:rPr>
        <w:t>2.74</w:t>
      </w:r>
    </w:p>
    <w:p>
      <w:pPr>
        <w:pStyle w:val="5"/>
        <w:spacing w:before="151"/>
        <w:ind w:right="1418"/>
        <w:jc w:val="right"/>
        <w:rPr>
          <w:rFonts w:hint="eastAsia" w:ascii="宋体" w:eastAsia="宋体"/>
        </w:rPr>
      </w:pPr>
      <w:r>
        <w:rPr>
          <w:spacing w:val="-8"/>
        </w:rPr>
        <w:t xml:space="preserve">万元、其他交通费用 </w:t>
      </w:r>
      <w:r>
        <w:rPr>
          <w:rFonts w:hint="eastAsia" w:ascii="宋体" w:eastAsia="宋体"/>
        </w:rPr>
        <w:t>2.19</w:t>
      </w:r>
      <w:r>
        <w:rPr>
          <w:rFonts w:hint="eastAsia" w:ascii="宋体" w:eastAsia="宋体"/>
          <w:spacing w:val="-84"/>
        </w:rPr>
        <w:t xml:space="preserve"> </w:t>
      </w:r>
      <w:r>
        <w:rPr>
          <w:spacing w:val="-5"/>
        </w:rPr>
        <w:t xml:space="preserve">万元、其他商品和服务支出 </w:t>
      </w:r>
      <w:r>
        <w:rPr>
          <w:rFonts w:hint="eastAsia" w:ascii="宋体" w:eastAsia="宋体"/>
        </w:rPr>
        <w:t>0.73</w:t>
      </w:r>
    </w:p>
    <w:p>
      <w:pPr>
        <w:pStyle w:val="5"/>
        <w:spacing w:before="150"/>
        <w:ind w:left="140"/>
      </w:pPr>
      <w:r>
        <w:t>万元。</w:t>
      </w:r>
    </w:p>
    <w:p>
      <w:pPr>
        <w:pStyle w:val="5"/>
        <w:spacing w:before="7"/>
        <w:rPr>
          <w:sz w:val="33"/>
        </w:rPr>
      </w:pPr>
    </w:p>
    <w:p>
      <w:pPr>
        <w:pStyle w:val="3"/>
      </w:pPr>
      <w:r>
        <w:t>七、一般公共预算项目支出决算情况说明</w:t>
      </w:r>
    </w:p>
    <w:p>
      <w:pPr>
        <w:pStyle w:val="5"/>
        <w:spacing w:before="7"/>
        <w:rPr>
          <w:rFonts w:ascii="黑体"/>
          <w:b/>
          <w:sz w:val="33"/>
        </w:rPr>
      </w:pPr>
    </w:p>
    <w:p>
      <w:pPr>
        <w:pStyle w:val="5"/>
        <w:ind w:left="780"/>
        <w:jc w:val="both"/>
      </w:pPr>
      <w:r>
        <w:rPr>
          <w:spacing w:val="2"/>
        </w:rPr>
        <w:t xml:space="preserve">锡林郭勒盟农村牧区社会事业发展中心单位 </w:t>
      </w:r>
      <w:r>
        <w:rPr>
          <w:rFonts w:hint="eastAsia" w:ascii="宋体" w:eastAsia="宋体"/>
        </w:rPr>
        <w:t>2022</w:t>
      </w:r>
      <w:r>
        <w:rPr>
          <w:rFonts w:hint="eastAsia" w:ascii="宋体" w:eastAsia="宋体"/>
          <w:spacing w:val="-74"/>
        </w:rPr>
        <w:t xml:space="preserve"> </w:t>
      </w:r>
      <w:r>
        <w:rPr>
          <w:spacing w:val="3"/>
        </w:rPr>
        <w:t>年度</w:t>
      </w:r>
    </w:p>
    <w:p>
      <w:pPr>
        <w:pStyle w:val="5"/>
        <w:spacing w:before="149"/>
        <w:ind w:left="140"/>
      </w:pPr>
      <w:r>
        <w:t xml:space="preserve">一般公共预算财政拨款项目支出决算 </w:t>
      </w:r>
      <w:r>
        <w:rPr>
          <w:rFonts w:ascii="Times New Roman" w:eastAsia="Times New Roman"/>
          <w:u w:val="single"/>
        </w:rPr>
        <w:t>17.00</w:t>
      </w:r>
      <w:r>
        <w:rPr>
          <w:rFonts w:ascii="Times New Roman" w:eastAsia="Times New Roman"/>
        </w:rPr>
        <w:t xml:space="preserve"> </w:t>
      </w:r>
      <w:r>
        <w:t>万元，其中：</w:t>
      </w:r>
    </w:p>
    <w:p>
      <w:pPr>
        <w:pStyle w:val="5"/>
        <w:spacing w:before="7"/>
        <w:rPr>
          <w:sz w:val="33"/>
        </w:rPr>
      </w:pPr>
    </w:p>
    <w:p>
      <w:pPr>
        <w:pStyle w:val="5"/>
        <w:spacing w:line="328" w:lineRule="auto"/>
        <w:ind w:left="140" w:right="1330" w:firstLine="643"/>
        <w:jc w:val="both"/>
      </w:pPr>
      <w:r>
        <w:rPr>
          <w:b/>
        </w:rPr>
        <w:t>（一）</w:t>
      </w:r>
      <w:r>
        <w:rPr>
          <w:b/>
          <w:spacing w:val="-13"/>
        </w:rPr>
        <w:t xml:space="preserve">工资福利支出 </w:t>
      </w:r>
      <w:r>
        <w:rPr>
          <w:rFonts w:ascii="Times New Roman" w:eastAsia="Times New Roman"/>
          <w:b/>
          <w:u w:val="thick"/>
        </w:rPr>
        <w:t>0.00</w:t>
      </w:r>
      <w:r>
        <w:rPr>
          <w:rFonts w:ascii="Times New Roman" w:eastAsia="Times New Roman"/>
          <w:b/>
        </w:rPr>
        <w:t xml:space="preserve"> </w:t>
      </w:r>
      <w:r>
        <w:rPr>
          <w:b/>
        </w:rPr>
        <w:t>万元</w:t>
      </w:r>
      <w:r>
        <w:t>。主要包括：基本工资、</w:t>
      </w:r>
      <w:r>
        <w:rPr>
          <w:spacing w:val="11"/>
        </w:rPr>
        <w:t>津贴补贴、奖金、伙食补助费、绩效工资、机关事业单位基本养老保险缴费、职业年金缴费、职工基本医疗保险缴费、公务员医疗补助缴费、其他社会保障缴费、住房公积金、医疗费、其他工资福利支出等。</w:t>
      </w:r>
    </w:p>
    <w:p>
      <w:pPr>
        <w:spacing w:before="273"/>
        <w:ind w:left="783" w:right="0" w:firstLine="0"/>
        <w:jc w:val="both"/>
        <w:rPr>
          <w:sz w:val="32"/>
        </w:rPr>
      </w:pPr>
      <w:r>
        <w:rPr>
          <w:sz w:val="32"/>
        </w:rPr>
        <w:t>（二）</w:t>
      </w:r>
      <w:r>
        <w:rPr>
          <w:b/>
          <w:sz w:val="32"/>
        </w:rPr>
        <w:t xml:space="preserve">商品和服务支出 </w:t>
      </w:r>
      <w:r>
        <w:rPr>
          <w:rFonts w:ascii="Times New Roman" w:eastAsia="Times New Roman"/>
          <w:b/>
          <w:sz w:val="32"/>
          <w:u w:val="thick"/>
        </w:rPr>
        <w:t>13.06</w:t>
      </w:r>
      <w:r>
        <w:rPr>
          <w:rFonts w:ascii="Times New Roman" w:eastAsia="Times New Roman"/>
          <w:b/>
          <w:sz w:val="32"/>
        </w:rPr>
        <w:t xml:space="preserve"> </w:t>
      </w:r>
      <w:r>
        <w:rPr>
          <w:b/>
          <w:sz w:val="32"/>
        </w:rPr>
        <w:t>万元</w:t>
      </w:r>
      <w:r>
        <w:rPr>
          <w:sz w:val="32"/>
        </w:rPr>
        <w:t>。主要包括：办公费</w:t>
      </w:r>
    </w:p>
    <w:p>
      <w:pPr>
        <w:pStyle w:val="5"/>
        <w:spacing w:before="150" w:line="326" w:lineRule="auto"/>
        <w:ind w:left="140" w:right="1419"/>
        <w:jc w:val="both"/>
      </w:pPr>
      <w:r>
        <w:rPr>
          <w:rFonts w:hint="eastAsia" w:ascii="宋体" w:eastAsia="宋体"/>
        </w:rPr>
        <w:t>0.78</w:t>
      </w:r>
      <w:r>
        <w:rPr>
          <w:rFonts w:hint="eastAsia" w:ascii="宋体" w:eastAsia="宋体"/>
          <w:spacing w:val="-82"/>
        </w:rPr>
        <w:t xml:space="preserve"> </w:t>
      </w:r>
      <w:r>
        <w:rPr>
          <w:spacing w:val="-8"/>
        </w:rPr>
        <w:t xml:space="preserve">万元、邮电费 </w:t>
      </w:r>
      <w:r>
        <w:rPr>
          <w:rFonts w:hint="eastAsia" w:ascii="宋体" w:eastAsia="宋体"/>
        </w:rPr>
        <w:t>0.05</w:t>
      </w:r>
      <w:r>
        <w:rPr>
          <w:rFonts w:hint="eastAsia" w:ascii="宋体" w:eastAsia="宋体"/>
          <w:spacing w:val="-79"/>
        </w:rPr>
        <w:t xml:space="preserve"> </w:t>
      </w:r>
      <w:r>
        <w:rPr>
          <w:spacing w:val="-10"/>
        </w:rPr>
        <w:t xml:space="preserve">万元、差旅费 </w:t>
      </w:r>
      <w:r>
        <w:rPr>
          <w:rFonts w:hint="eastAsia" w:ascii="宋体" w:eastAsia="宋体"/>
        </w:rPr>
        <w:t>10.70</w:t>
      </w:r>
      <w:r>
        <w:rPr>
          <w:rFonts w:hint="eastAsia" w:ascii="宋体" w:eastAsia="宋体"/>
          <w:spacing w:val="-79"/>
        </w:rPr>
        <w:t xml:space="preserve"> </w:t>
      </w:r>
      <w:r>
        <w:rPr>
          <w:spacing w:val="2"/>
        </w:rPr>
        <w:t>万元、专用材</w:t>
      </w:r>
      <w:r>
        <w:rPr>
          <w:spacing w:val="-26"/>
        </w:rPr>
        <w:t xml:space="preserve">料费 </w:t>
      </w:r>
      <w:r>
        <w:rPr>
          <w:rFonts w:hint="eastAsia" w:ascii="宋体" w:eastAsia="宋体"/>
        </w:rPr>
        <w:t>0.37</w:t>
      </w:r>
      <w:r>
        <w:rPr>
          <w:rFonts w:hint="eastAsia" w:ascii="宋体" w:eastAsia="宋体"/>
          <w:spacing w:val="-80"/>
        </w:rPr>
        <w:t xml:space="preserve"> </w:t>
      </w:r>
      <w:r>
        <w:rPr>
          <w:spacing w:val="-9"/>
        </w:rPr>
        <w:t xml:space="preserve">万元、其他交通费用 </w:t>
      </w:r>
      <w:r>
        <w:rPr>
          <w:rFonts w:hint="eastAsia" w:ascii="宋体" w:eastAsia="宋体"/>
        </w:rPr>
        <w:t>1.15</w:t>
      </w:r>
      <w:r>
        <w:rPr>
          <w:rFonts w:hint="eastAsia" w:ascii="宋体" w:eastAsia="宋体"/>
          <w:spacing w:val="-81"/>
        </w:rPr>
        <w:t xml:space="preserve"> </w:t>
      </w:r>
      <w:r>
        <w:t>万元。</w:t>
      </w:r>
    </w:p>
    <w:p>
      <w:pPr>
        <w:spacing w:after="0" w:line="326" w:lineRule="auto"/>
        <w:jc w:val="both"/>
        <w:sectPr>
          <w:pgSz w:w="11920" w:h="16860"/>
          <w:pgMar w:top="1520" w:right="380" w:bottom="280" w:left="1660" w:header="720" w:footer="720" w:gutter="0"/>
          <w:pgBorders>
            <w:top w:val="none" w:sz="0" w:space="0"/>
            <w:left w:val="none" w:sz="0" w:space="0"/>
            <w:bottom w:val="none" w:sz="0" w:space="0"/>
            <w:right w:val="none" w:sz="0" w:space="0"/>
          </w:pgBorders>
          <w:cols w:space="720" w:num="1"/>
        </w:sectPr>
      </w:pPr>
    </w:p>
    <w:p>
      <w:pPr>
        <w:spacing w:before="37"/>
        <w:ind w:left="759" w:right="0" w:firstLine="0"/>
        <w:jc w:val="left"/>
        <w:rPr>
          <w:sz w:val="32"/>
        </w:rPr>
      </w:pPr>
      <w:r>
        <w:rPr>
          <w:sz w:val="32"/>
        </w:rPr>
        <w:t>（三）</w:t>
      </w:r>
      <w:r>
        <w:rPr>
          <w:b/>
          <w:spacing w:val="-13"/>
          <w:sz w:val="32"/>
        </w:rPr>
        <w:t xml:space="preserve">资本性支出 </w:t>
      </w:r>
      <w:r>
        <w:rPr>
          <w:rFonts w:hint="eastAsia" w:ascii="宋体" w:eastAsia="宋体"/>
          <w:b/>
          <w:sz w:val="32"/>
          <w:u w:val="single"/>
        </w:rPr>
        <w:t>3.94</w:t>
      </w:r>
      <w:r>
        <w:rPr>
          <w:rFonts w:hint="eastAsia" w:ascii="宋体" w:eastAsia="宋体"/>
          <w:b/>
          <w:spacing w:val="-82"/>
          <w:sz w:val="32"/>
        </w:rPr>
        <w:t xml:space="preserve"> </w:t>
      </w:r>
      <w:r>
        <w:rPr>
          <w:b/>
          <w:sz w:val="32"/>
        </w:rPr>
        <w:t>万元。</w:t>
      </w:r>
      <w:r>
        <w:rPr>
          <w:sz w:val="32"/>
        </w:rPr>
        <w:t>主要包括：办公设备购</w:t>
      </w:r>
    </w:p>
    <w:p>
      <w:pPr>
        <w:pStyle w:val="5"/>
        <w:spacing w:before="214"/>
        <w:ind w:left="140"/>
        <w:rPr>
          <w:rFonts w:hint="eastAsia" w:ascii="宋体" w:eastAsia="宋体"/>
          <w:sz w:val="24"/>
        </w:rPr>
      </w:pPr>
      <w:r>
        <w:rPr>
          <w:spacing w:val="-40"/>
        </w:rPr>
        <w:t xml:space="preserve">置 </w:t>
      </w:r>
      <w:r>
        <w:rPr>
          <w:rFonts w:hint="eastAsia" w:ascii="宋体" w:eastAsia="宋体"/>
        </w:rPr>
        <w:t>3.94</w:t>
      </w:r>
      <w:r>
        <w:rPr>
          <w:rFonts w:hint="eastAsia" w:ascii="宋体" w:eastAsia="宋体"/>
          <w:spacing w:val="-80"/>
        </w:rPr>
        <w:t xml:space="preserve"> </w:t>
      </w:r>
      <w:r>
        <w:t>万元</w:t>
      </w:r>
      <w:r>
        <w:rPr>
          <w:rFonts w:hint="eastAsia" w:ascii="宋体" w:eastAsia="宋体"/>
          <w:sz w:val="24"/>
        </w:rPr>
        <w:t>。</w:t>
      </w:r>
    </w:p>
    <w:p>
      <w:pPr>
        <w:pStyle w:val="5"/>
        <w:spacing w:before="1"/>
        <w:rPr>
          <w:rFonts w:ascii="宋体"/>
          <w:sz w:val="40"/>
        </w:rPr>
      </w:pPr>
    </w:p>
    <w:p>
      <w:pPr>
        <w:pStyle w:val="3"/>
      </w:pPr>
      <w:r>
        <w:t>八、财政拨款</w:t>
      </w:r>
      <w:r>
        <w:rPr>
          <w:rFonts w:ascii="Times New Roman" w:hAnsi="Times New Roman" w:eastAsia="Times New Roman"/>
        </w:rPr>
        <w:t>“</w:t>
      </w:r>
      <w:r>
        <w:t>三公</w:t>
      </w:r>
      <w:r>
        <w:rPr>
          <w:rFonts w:ascii="Times New Roman" w:hAnsi="Times New Roman" w:eastAsia="Times New Roman"/>
        </w:rPr>
        <w:t>”</w:t>
      </w:r>
      <w:r>
        <w:t>经费支出决算情况说明</w:t>
      </w:r>
    </w:p>
    <w:p>
      <w:pPr>
        <w:pStyle w:val="5"/>
        <w:spacing w:before="7"/>
        <w:rPr>
          <w:rFonts w:ascii="黑体"/>
          <w:b/>
          <w:sz w:val="33"/>
        </w:rPr>
      </w:pPr>
    </w:p>
    <w:p>
      <w:pPr>
        <w:spacing w:before="1"/>
        <w:ind w:left="783" w:right="0" w:firstLine="0"/>
        <w:jc w:val="left"/>
        <w:rPr>
          <w:rFonts w:hint="eastAsia" w:ascii="楷体" w:hAnsi="楷体" w:eastAsia="楷体"/>
          <w:b/>
          <w:sz w:val="32"/>
        </w:rPr>
      </w:pPr>
      <w:r>
        <w:rPr>
          <w:rFonts w:hint="eastAsia" w:ascii="楷体" w:hAnsi="楷体" w:eastAsia="楷体"/>
          <w:b/>
          <w:sz w:val="32"/>
        </w:rPr>
        <w:t>（一）财政拨款</w:t>
      </w:r>
      <w:r>
        <w:rPr>
          <w:rFonts w:ascii="Times New Roman" w:hAnsi="Times New Roman" w:eastAsia="Times New Roman"/>
          <w:b/>
          <w:sz w:val="32"/>
        </w:rPr>
        <w:t>“</w:t>
      </w:r>
      <w:r>
        <w:rPr>
          <w:rFonts w:hint="eastAsia" w:ascii="楷体" w:hAnsi="楷体" w:eastAsia="楷体"/>
          <w:b/>
          <w:sz w:val="32"/>
        </w:rPr>
        <w:t>三公</w:t>
      </w:r>
      <w:r>
        <w:rPr>
          <w:rFonts w:ascii="Times New Roman" w:hAnsi="Times New Roman" w:eastAsia="Times New Roman"/>
          <w:b/>
          <w:sz w:val="32"/>
        </w:rPr>
        <w:t>”</w:t>
      </w:r>
      <w:r>
        <w:rPr>
          <w:rFonts w:hint="eastAsia" w:ascii="楷体" w:hAnsi="楷体" w:eastAsia="楷体"/>
          <w:b/>
          <w:sz w:val="32"/>
        </w:rPr>
        <w:t>经费支出总体情况说明。</w:t>
      </w:r>
    </w:p>
    <w:p>
      <w:pPr>
        <w:pStyle w:val="5"/>
        <w:spacing w:before="7"/>
        <w:rPr>
          <w:rFonts w:ascii="楷体"/>
          <w:b/>
          <w:sz w:val="33"/>
        </w:rPr>
      </w:pPr>
    </w:p>
    <w:p>
      <w:pPr>
        <w:pStyle w:val="5"/>
        <w:ind w:left="780"/>
      </w:pPr>
      <w:r>
        <w:rPr>
          <w:spacing w:val="1"/>
        </w:rPr>
        <w:t xml:space="preserve">锡林郭勒盟农村牧区社会事业发展中心单位 </w:t>
      </w:r>
      <w:r>
        <w:rPr>
          <w:rFonts w:hint="eastAsia" w:ascii="宋体" w:eastAsia="宋体"/>
        </w:rPr>
        <w:t>2022</w:t>
      </w:r>
      <w:r>
        <w:rPr>
          <w:rFonts w:hint="eastAsia" w:ascii="宋体" w:eastAsia="宋体"/>
          <w:spacing w:val="-84"/>
        </w:rPr>
        <w:t xml:space="preserve"> </w:t>
      </w:r>
      <w:r>
        <w:rPr>
          <w:spacing w:val="3"/>
        </w:rPr>
        <w:t>年度</w:t>
      </w:r>
    </w:p>
    <w:p>
      <w:pPr>
        <w:pStyle w:val="5"/>
        <w:spacing w:before="151" w:line="328" w:lineRule="auto"/>
        <w:ind w:left="140" w:right="1189"/>
      </w:pPr>
      <w:r>
        <w:rPr>
          <w:spacing w:val="9"/>
        </w:rPr>
        <w:t>财政拨款</w:t>
      </w:r>
      <w:r>
        <w:rPr>
          <w:rFonts w:ascii="Times New Roman" w:hAnsi="Times New Roman" w:eastAsia="Times New Roman"/>
          <w:spacing w:val="9"/>
        </w:rPr>
        <w:t>“</w:t>
      </w:r>
      <w:r>
        <w:rPr>
          <w:spacing w:val="10"/>
        </w:rPr>
        <w:t>三公</w:t>
      </w:r>
      <w:r>
        <w:rPr>
          <w:rFonts w:ascii="Times New Roman" w:hAnsi="Times New Roman" w:eastAsia="Times New Roman"/>
          <w:spacing w:val="9"/>
        </w:rPr>
        <w:t>”</w:t>
      </w:r>
      <w:r>
        <w:rPr>
          <w:spacing w:val="-10"/>
        </w:rPr>
        <w:t xml:space="preserve">经费预算 </w:t>
      </w:r>
      <w:r>
        <w:rPr>
          <w:rFonts w:ascii="Times New Roman" w:hAnsi="Times New Roman" w:eastAsia="Times New Roman"/>
          <w:u w:val="single"/>
        </w:rPr>
        <w:t>2.00</w:t>
      </w:r>
      <w:r>
        <w:rPr>
          <w:rFonts w:ascii="Times New Roman" w:hAnsi="Times New Roman" w:eastAsia="Times New Roman"/>
          <w:spacing w:val="-10"/>
        </w:rPr>
        <w:t xml:space="preserve"> </w:t>
      </w:r>
      <w:r>
        <w:rPr>
          <w:spacing w:val="-3"/>
        </w:rPr>
        <w:t xml:space="preserve">万元，支出决算 </w:t>
      </w:r>
      <w:r>
        <w:rPr>
          <w:rFonts w:ascii="Times New Roman" w:hAnsi="Times New Roman" w:eastAsia="Times New Roman"/>
          <w:u w:val="single"/>
        </w:rPr>
        <w:t>0.00</w:t>
      </w:r>
      <w:r>
        <w:rPr>
          <w:rFonts w:ascii="Times New Roman" w:hAnsi="Times New Roman" w:eastAsia="Times New Roman"/>
          <w:spacing w:val="-10"/>
        </w:rPr>
        <w:t xml:space="preserve"> </w:t>
      </w:r>
      <w:r>
        <w:rPr>
          <w:spacing w:val="6"/>
        </w:rPr>
        <w:t xml:space="preserve">万元， </w:t>
      </w:r>
      <w:r>
        <w:rPr>
          <w:spacing w:val="-9"/>
        </w:rPr>
        <w:t xml:space="preserve">完成预算的 </w:t>
      </w:r>
      <w:r>
        <w:rPr>
          <w:rFonts w:ascii="Times New Roman" w:hAnsi="Times New Roman" w:eastAsia="Times New Roman"/>
          <w:u w:val="single"/>
        </w:rPr>
        <w:t>0.00</w:t>
      </w:r>
      <w:r>
        <w:rPr>
          <w:rFonts w:hint="eastAsia" w:ascii="宋体" w:hAnsi="宋体" w:eastAsia="宋体"/>
        </w:rPr>
        <w:t>%</w:t>
      </w:r>
      <w:r>
        <w:t>。其中：因公出国（境）</w:t>
      </w:r>
      <w:r>
        <w:rPr>
          <w:spacing w:val="-21"/>
        </w:rPr>
        <w:t xml:space="preserve">费预算 </w:t>
      </w:r>
      <w:r>
        <w:rPr>
          <w:rFonts w:ascii="Times New Roman" w:hAnsi="Times New Roman" w:eastAsia="Times New Roman"/>
          <w:u w:val="single"/>
        </w:rPr>
        <w:t>0.00</w:t>
      </w:r>
      <w:r>
        <w:rPr>
          <w:rFonts w:ascii="Times New Roman" w:hAnsi="Times New Roman" w:eastAsia="Times New Roman"/>
          <w:spacing w:val="-20"/>
        </w:rPr>
        <w:t xml:space="preserve"> </w:t>
      </w:r>
      <w:r>
        <w:t xml:space="preserve">万元， </w:t>
      </w:r>
      <w:r>
        <w:rPr>
          <w:spacing w:val="-14"/>
        </w:rPr>
        <w:t xml:space="preserve">支出决算 </w:t>
      </w:r>
      <w:r>
        <w:rPr>
          <w:rFonts w:ascii="Times New Roman" w:hAnsi="Times New Roman" w:eastAsia="Times New Roman"/>
          <w:u w:val="single"/>
        </w:rPr>
        <w:t>0.00</w:t>
      </w:r>
      <w:r>
        <w:rPr>
          <w:rFonts w:ascii="Times New Roman" w:hAnsi="Times New Roman" w:eastAsia="Times New Roman"/>
          <w:spacing w:val="-14"/>
        </w:rPr>
        <w:t xml:space="preserve"> </w:t>
      </w:r>
      <w:r>
        <w:rPr>
          <w:spacing w:val="-5"/>
        </w:rPr>
        <w:t xml:space="preserve">万元，完成预算的 </w:t>
      </w:r>
      <w:r>
        <w:rPr>
          <w:rFonts w:ascii="Times New Roman" w:hAnsi="Times New Roman" w:eastAsia="Times New Roman"/>
          <w:u w:val="single"/>
        </w:rPr>
        <w:t>0.00</w:t>
      </w:r>
      <w:r>
        <w:rPr>
          <w:rFonts w:hint="eastAsia" w:ascii="宋体" w:hAnsi="宋体" w:eastAsia="宋体"/>
        </w:rPr>
        <w:t>%</w:t>
      </w:r>
      <w:r>
        <w:rPr>
          <w:spacing w:val="2"/>
        </w:rPr>
        <w:t>；公务用车购置及运</w:t>
      </w:r>
      <w:r>
        <w:rPr>
          <w:spacing w:val="-6"/>
        </w:rPr>
        <w:t xml:space="preserve">行维护费预算 </w:t>
      </w:r>
      <w:r>
        <w:rPr>
          <w:rFonts w:ascii="Times New Roman" w:hAnsi="Times New Roman" w:eastAsia="Times New Roman"/>
          <w:u w:val="single"/>
        </w:rPr>
        <w:t>2.00</w:t>
      </w:r>
      <w:r>
        <w:rPr>
          <w:rFonts w:ascii="Times New Roman" w:hAnsi="Times New Roman" w:eastAsia="Times New Roman"/>
          <w:spacing w:val="-13"/>
        </w:rPr>
        <w:t xml:space="preserve"> </w:t>
      </w:r>
      <w:r>
        <w:rPr>
          <w:spacing w:val="-4"/>
        </w:rPr>
        <w:t xml:space="preserve">万元，支出决算 </w:t>
      </w:r>
      <w:r>
        <w:rPr>
          <w:rFonts w:ascii="Times New Roman" w:hAnsi="Times New Roman" w:eastAsia="Times New Roman"/>
          <w:u w:val="single"/>
        </w:rPr>
        <w:t>0.00</w:t>
      </w:r>
      <w:r>
        <w:rPr>
          <w:rFonts w:ascii="Times New Roman" w:hAnsi="Times New Roman" w:eastAsia="Times New Roman"/>
          <w:spacing w:val="-13"/>
        </w:rPr>
        <w:t xml:space="preserve"> </w:t>
      </w:r>
      <w:r>
        <w:rPr>
          <w:spacing w:val="7"/>
        </w:rPr>
        <w:t>万元，完成预算的</w:t>
      </w:r>
    </w:p>
    <w:p>
      <w:pPr>
        <w:pStyle w:val="11"/>
        <w:numPr>
          <w:ilvl w:val="1"/>
          <w:numId w:val="8"/>
        </w:numPr>
        <w:tabs>
          <w:tab w:val="left" w:pos="702"/>
        </w:tabs>
        <w:spacing w:before="0" w:after="0" w:line="328" w:lineRule="auto"/>
        <w:ind w:left="140" w:right="1419" w:firstLine="0"/>
        <w:jc w:val="both"/>
        <w:rPr>
          <w:sz w:val="32"/>
        </w:rPr>
      </w:pPr>
      <w:r>
        <w:rPr>
          <w:rFonts w:hint="eastAsia" w:ascii="宋体" w:hAnsi="宋体" w:eastAsia="宋体"/>
          <w:spacing w:val="5"/>
          <w:sz w:val="32"/>
        </w:rPr>
        <w:t>%</w:t>
      </w:r>
      <w:r>
        <w:rPr>
          <w:spacing w:val="-6"/>
          <w:sz w:val="32"/>
        </w:rPr>
        <w:t xml:space="preserve">；公务接待费预算 </w:t>
      </w:r>
      <w:r>
        <w:rPr>
          <w:rFonts w:ascii="Times New Roman" w:hAnsi="Times New Roman" w:eastAsia="Times New Roman"/>
          <w:sz w:val="32"/>
          <w:u w:val="single"/>
        </w:rPr>
        <w:t>0.00</w:t>
      </w:r>
      <w:r>
        <w:rPr>
          <w:rFonts w:ascii="Times New Roman" w:hAnsi="Times New Roman" w:eastAsia="Times New Roman"/>
          <w:spacing w:val="-16"/>
          <w:sz w:val="32"/>
        </w:rPr>
        <w:t xml:space="preserve"> </w:t>
      </w:r>
      <w:r>
        <w:rPr>
          <w:spacing w:val="-7"/>
          <w:sz w:val="32"/>
        </w:rPr>
        <w:t xml:space="preserve">万元，支出决算 </w:t>
      </w:r>
      <w:r>
        <w:rPr>
          <w:rFonts w:ascii="Times New Roman" w:hAnsi="Times New Roman" w:eastAsia="Times New Roman"/>
          <w:sz w:val="32"/>
          <w:u w:val="single"/>
        </w:rPr>
        <w:t>0.00</w:t>
      </w:r>
      <w:r>
        <w:rPr>
          <w:rFonts w:ascii="Times New Roman" w:hAnsi="Times New Roman" w:eastAsia="Times New Roman"/>
          <w:spacing w:val="-15"/>
          <w:sz w:val="32"/>
        </w:rPr>
        <w:t xml:space="preserve"> </w:t>
      </w:r>
      <w:r>
        <w:rPr>
          <w:spacing w:val="3"/>
          <w:sz w:val="32"/>
        </w:rPr>
        <w:t>万元，完</w:t>
      </w:r>
      <w:r>
        <w:rPr>
          <w:spacing w:val="-15"/>
          <w:sz w:val="32"/>
        </w:rPr>
        <w:t xml:space="preserve">成预算的 </w:t>
      </w:r>
      <w:r>
        <w:rPr>
          <w:rFonts w:ascii="Times New Roman" w:hAnsi="Times New Roman" w:eastAsia="Times New Roman"/>
          <w:sz w:val="32"/>
          <w:u w:val="single"/>
        </w:rPr>
        <w:t>0.00</w:t>
      </w:r>
      <w:r>
        <w:rPr>
          <w:rFonts w:hint="eastAsia" w:ascii="宋体" w:hAnsi="宋体" w:eastAsia="宋体"/>
          <w:sz w:val="32"/>
        </w:rPr>
        <w:t>%</w:t>
      </w:r>
      <w:r>
        <w:rPr>
          <w:spacing w:val="5"/>
          <w:sz w:val="32"/>
        </w:rPr>
        <w:t>。</w:t>
      </w:r>
      <w:r>
        <w:rPr>
          <w:rFonts w:hint="eastAsia" w:ascii="宋体" w:hAnsi="宋体" w:eastAsia="宋体"/>
          <w:sz w:val="32"/>
        </w:rPr>
        <w:t>2022</w:t>
      </w:r>
      <w:r>
        <w:rPr>
          <w:rFonts w:hint="eastAsia" w:ascii="宋体" w:hAnsi="宋体" w:eastAsia="宋体"/>
          <w:spacing w:val="-84"/>
          <w:sz w:val="32"/>
        </w:rPr>
        <w:t xml:space="preserve"> </w:t>
      </w:r>
      <w:r>
        <w:rPr>
          <w:spacing w:val="5"/>
          <w:sz w:val="32"/>
        </w:rPr>
        <w:t>年度财政拨款</w:t>
      </w:r>
      <w:r>
        <w:rPr>
          <w:rFonts w:ascii="Times New Roman" w:hAnsi="Times New Roman" w:eastAsia="Times New Roman"/>
          <w:spacing w:val="4"/>
          <w:sz w:val="32"/>
        </w:rPr>
        <w:t>“</w:t>
      </w:r>
      <w:r>
        <w:rPr>
          <w:spacing w:val="6"/>
          <w:sz w:val="32"/>
        </w:rPr>
        <w:t>三公</w:t>
      </w:r>
      <w:r>
        <w:rPr>
          <w:rFonts w:ascii="Times New Roman" w:hAnsi="Times New Roman" w:eastAsia="Times New Roman"/>
          <w:spacing w:val="4"/>
          <w:sz w:val="32"/>
        </w:rPr>
        <w:t>”</w:t>
      </w:r>
      <w:r>
        <w:rPr>
          <w:spacing w:val="4"/>
          <w:sz w:val="32"/>
        </w:rPr>
        <w:t>经费支出决算与预算差异原因：我单位无公务用车。</w:t>
      </w:r>
    </w:p>
    <w:p>
      <w:pPr>
        <w:pStyle w:val="3"/>
        <w:spacing w:before="268"/>
        <w:rPr>
          <w:rFonts w:hint="eastAsia" w:ascii="楷体" w:hAnsi="楷体" w:eastAsia="楷体"/>
        </w:rPr>
      </w:pPr>
      <w:r>
        <w:rPr>
          <w:rFonts w:hint="eastAsia" w:ascii="楷体" w:hAnsi="楷体" w:eastAsia="楷体"/>
        </w:rPr>
        <w:t>（二）财政拨款</w:t>
      </w:r>
      <w:r>
        <w:rPr>
          <w:rFonts w:ascii="Times New Roman" w:hAnsi="Times New Roman" w:eastAsia="Times New Roman"/>
        </w:rPr>
        <w:t>“</w:t>
      </w:r>
      <w:r>
        <w:rPr>
          <w:rFonts w:hint="eastAsia" w:ascii="楷体" w:hAnsi="楷体" w:eastAsia="楷体"/>
        </w:rPr>
        <w:t>三公</w:t>
      </w:r>
      <w:r>
        <w:rPr>
          <w:rFonts w:ascii="Times New Roman" w:hAnsi="Times New Roman" w:eastAsia="Times New Roman"/>
        </w:rPr>
        <w:t>”</w:t>
      </w:r>
      <w:r>
        <w:rPr>
          <w:rFonts w:hint="eastAsia" w:ascii="楷体" w:hAnsi="楷体" w:eastAsia="楷体"/>
        </w:rPr>
        <w:t>经费支出具体情况说明。</w:t>
      </w:r>
    </w:p>
    <w:p>
      <w:pPr>
        <w:pStyle w:val="5"/>
        <w:spacing w:before="7"/>
        <w:rPr>
          <w:rFonts w:ascii="楷体"/>
          <w:b/>
          <w:sz w:val="33"/>
        </w:rPr>
      </w:pPr>
    </w:p>
    <w:p>
      <w:pPr>
        <w:pStyle w:val="5"/>
        <w:spacing w:before="1"/>
        <w:ind w:left="783"/>
        <w:jc w:val="both"/>
      </w:pPr>
      <w:r>
        <w:rPr>
          <w:spacing w:val="2"/>
        </w:rPr>
        <w:t xml:space="preserve">锡林郭勒盟农村牧区社会事业发展中心单位 </w:t>
      </w:r>
      <w:r>
        <w:rPr>
          <w:rFonts w:hint="eastAsia" w:ascii="宋体" w:eastAsia="宋体"/>
        </w:rPr>
        <w:t>2022</w:t>
      </w:r>
      <w:r>
        <w:rPr>
          <w:rFonts w:hint="eastAsia" w:ascii="宋体" w:eastAsia="宋体"/>
          <w:spacing w:val="-74"/>
        </w:rPr>
        <w:t xml:space="preserve"> </w:t>
      </w:r>
      <w:r>
        <w:rPr>
          <w:spacing w:val="3"/>
        </w:rPr>
        <w:t>年度</w:t>
      </w:r>
    </w:p>
    <w:p>
      <w:pPr>
        <w:pStyle w:val="5"/>
        <w:spacing w:before="149" w:line="328" w:lineRule="auto"/>
        <w:ind w:left="140" w:right="1366"/>
        <w:jc w:val="both"/>
      </w:pPr>
      <w:r>
        <w:t>财政拨款</w:t>
      </w:r>
      <w:r>
        <w:rPr>
          <w:rFonts w:ascii="Times New Roman" w:hAnsi="Times New Roman" w:eastAsia="Times New Roman"/>
        </w:rPr>
        <w:t>“</w:t>
      </w:r>
      <w:r>
        <w:t>三公</w:t>
      </w:r>
      <w:r>
        <w:rPr>
          <w:rFonts w:ascii="Times New Roman" w:hAnsi="Times New Roman" w:eastAsia="Times New Roman"/>
        </w:rPr>
        <w:t>”</w:t>
      </w:r>
      <w:r>
        <w:t xml:space="preserve">经费支出 </w:t>
      </w:r>
      <w:r>
        <w:rPr>
          <w:rFonts w:ascii="Times New Roman" w:hAnsi="Times New Roman" w:eastAsia="Times New Roman"/>
          <w:u w:val="single"/>
        </w:rPr>
        <w:t>0.00</w:t>
      </w:r>
      <w:r>
        <w:rPr>
          <w:rFonts w:ascii="Times New Roman" w:hAnsi="Times New Roman" w:eastAsia="Times New Roman"/>
        </w:rPr>
        <w:t xml:space="preserve"> </w:t>
      </w:r>
      <w:r>
        <w:t xml:space="preserve">万元。因公出国（境）费支出 </w:t>
      </w:r>
      <w:r>
        <w:rPr>
          <w:rFonts w:ascii="Times New Roman" w:hAnsi="Times New Roman" w:eastAsia="Times New Roman"/>
          <w:u w:val="single"/>
        </w:rPr>
        <w:t>0.00</w:t>
      </w:r>
      <w:r>
        <w:rPr>
          <w:rFonts w:ascii="Times New Roman" w:hAnsi="Times New Roman" w:eastAsia="Times New Roman"/>
        </w:rPr>
        <w:t xml:space="preserve"> </w:t>
      </w:r>
      <w:r>
        <w:t xml:space="preserve">万元，占 </w:t>
      </w:r>
      <w:r>
        <w:rPr>
          <w:rFonts w:ascii="Times New Roman" w:hAnsi="Times New Roman" w:eastAsia="Times New Roman"/>
          <w:u w:val="single"/>
        </w:rPr>
        <w:t>0.00</w:t>
      </w:r>
      <w:r>
        <w:rPr>
          <w:rFonts w:hint="eastAsia" w:ascii="宋体" w:hAnsi="宋体" w:eastAsia="宋体"/>
        </w:rPr>
        <w:t>%</w:t>
      </w:r>
      <w:r>
        <w:t>；公务用车购置及运行维护费支出</w:t>
      </w:r>
      <w:r>
        <w:rPr>
          <w:rFonts w:ascii="Times New Roman" w:hAnsi="Times New Roman" w:eastAsia="Times New Roman"/>
          <w:u w:val="single"/>
        </w:rPr>
        <w:t>0.00</w:t>
      </w:r>
      <w:r>
        <w:rPr>
          <w:rFonts w:ascii="Times New Roman" w:hAnsi="Times New Roman" w:eastAsia="Times New Roman"/>
        </w:rPr>
        <w:t xml:space="preserve"> </w:t>
      </w:r>
      <w:r>
        <w:t xml:space="preserve">万元，占 </w:t>
      </w:r>
      <w:r>
        <w:rPr>
          <w:rFonts w:ascii="Times New Roman" w:hAnsi="Times New Roman" w:eastAsia="Times New Roman"/>
          <w:u w:val="single"/>
        </w:rPr>
        <w:t>0.00</w:t>
      </w:r>
      <w:r>
        <w:rPr>
          <w:rFonts w:hint="eastAsia" w:ascii="宋体" w:hAnsi="宋体" w:eastAsia="宋体"/>
        </w:rPr>
        <w:t>%</w:t>
      </w:r>
      <w:r>
        <w:t xml:space="preserve">；公务接待费支出 </w:t>
      </w:r>
      <w:r>
        <w:rPr>
          <w:rFonts w:ascii="Times New Roman" w:hAnsi="Times New Roman" w:eastAsia="Times New Roman"/>
          <w:u w:val="single"/>
        </w:rPr>
        <w:t>0.00</w:t>
      </w:r>
      <w:r>
        <w:rPr>
          <w:rFonts w:ascii="Times New Roman" w:hAnsi="Times New Roman" w:eastAsia="Times New Roman"/>
        </w:rPr>
        <w:t xml:space="preserve"> </w:t>
      </w:r>
      <w:r>
        <w:t xml:space="preserve">万元，占 </w:t>
      </w:r>
      <w:r>
        <w:rPr>
          <w:rFonts w:ascii="Times New Roman" w:hAnsi="Times New Roman" w:eastAsia="Times New Roman"/>
          <w:u w:val="single"/>
        </w:rPr>
        <w:t>0.00</w:t>
      </w:r>
      <w:r>
        <w:rPr>
          <w:rFonts w:hint="eastAsia" w:ascii="宋体" w:hAnsi="宋体" w:eastAsia="宋体"/>
        </w:rPr>
        <w:t>%</w:t>
      </w:r>
      <w:r>
        <w:t>。其中：</w:t>
      </w:r>
    </w:p>
    <w:p>
      <w:pPr>
        <w:pStyle w:val="11"/>
        <w:numPr>
          <w:ilvl w:val="2"/>
          <w:numId w:val="8"/>
        </w:numPr>
        <w:tabs>
          <w:tab w:val="left" w:pos="1023"/>
        </w:tabs>
        <w:spacing w:before="273" w:after="0" w:line="240" w:lineRule="auto"/>
        <w:ind w:left="1022" w:right="0" w:hanging="243"/>
        <w:jc w:val="both"/>
        <w:rPr>
          <w:sz w:val="32"/>
        </w:rPr>
      </w:pPr>
      <w:r>
        <w:rPr>
          <w:sz w:val="32"/>
        </w:rPr>
        <w:t>因公出国（境）</w:t>
      </w:r>
      <w:r>
        <w:rPr>
          <w:spacing w:val="-21"/>
          <w:sz w:val="32"/>
        </w:rPr>
        <w:t xml:space="preserve">费支出 </w:t>
      </w:r>
      <w:r>
        <w:rPr>
          <w:rFonts w:ascii="Times New Roman" w:eastAsia="Times New Roman"/>
          <w:sz w:val="32"/>
          <w:u w:val="single"/>
        </w:rPr>
        <w:t>0.00</w:t>
      </w:r>
      <w:r>
        <w:rPr>
          <w:rFonts w:ascii="Times New Roman" w:eastAsia="Times New Roman"/>
          <w:spacing w:val="-14"/>
          <w:sz w:val="32"/>
        </w:rPr>
        <w:t xml:space="preserve"> </w:t>
      </w:r>
      <w:r>
        <w:rPr>
          <w:sz w:val="32"/>
        </w:rPr>
        <w:t>万元，全年出国（境）团</w:t>
      </w:r>
    </w:p>
    <w:p>
      <w:pPr>
        <w:spacing w:before="149" w:line="328" w:lineRule="auto"/>
        <w:ind w:left="140" w:right="1419" w:firstLine="0"/>
        <w:jc w:val="both"/>
        <w:rPr>
          <w:sz w:val="32"/>
        </w:rPr>
      </w:pPr>
      <w:r>
        <w:rPr>
          <w:sz w:val="32"/>
        </w:rPr>
        <w:t xml:space="preserve">组 </w:t>
      </w:r>
      <w:r>
        <w:rPr>
          <w:rFonts w:ascii="Times New Roman" w:eastAsia="Times New Roman"/>
          <w:sz w:val="32"/>
          <w:u w:val="single"/>
        </w:rPr>
        <w:t>0</w:t>
      </w:r>
      <w:r>
        <w:rPr>
          <w:rFonts w:ascii="Times New Roman" w:eastAsia="Times New Roman"/>
          <w:sz w:val="32"/>
        </w:rPr>
        <w:t xml:space="preserve"> </w:t>
      </w:r>
      <w:r>
        <w:rPr>
          <w:sz w:val="32"/>
        </w:rPr>
        <w:t xml:space="preserve">个，累计 </w:t>
      </w:r>
      <w:r>
        <w:rPr>
          <w:rFonts w:ascii="Times New Roman" w:eastAsia="Times New Roman"/>
          <w:sz w:val="32"/>
          <w:u w:val="single"/>
        </w:rPr>
        <w:t>0</w:t>
      </w:r>
      <w:r>
        <w:rPr>
          <w:rFonts w:ascii="Times New Roman" w:eastAsia="Times New Roman"/>
          <w:sz w:val="32"/>
        </w:rPr>
        <w:t xml:space="preserve"> </w:t>
      </w:r>
      <w:r>
        <w:rPr>
          <w:sz w:val="32"/>
        </w:rPr>
        <w:t xml:space="preserve">人次。与上年决算相比，增加 </w:t>
      </w:r>
      <w:r>
        <w:rPr>
          <w:rFonts w:ascii="Times New Roman" w:eastAsia="Times New Roman"/>
          <w:sz w:val="32"/>
          <w:u w:val="single"/>
        </w:rPr>
        <w:t>0.00</w:t>
      </w:r>
      <w:r>
        <w:rPr>
          <w:rFonts w:ascii="Times New Roman" w:eastAsia="Times New Roman"/>
          <w:sz w:val="32"/>
        </w:rPr>
        <w:t xml:space="preserve"> </w:t>
      </w:r>
      <w:r>
        <w:rPr>
          <w:sz w:val="32"/>
        </w:rPr>
        <w:t xml:space="preserve">万元， 增长 </w:t>
      </w:r>
      <w:r>
        <w:rPr>
          <w:rFonts w:ascii="Times New Roman" w:eastAsia="Times New Roman"/>
          <w:sz w:val="32"/>
          <w:u w:val="single"/>
        </w:rPr>
        <w:t>0.00</w:t>
      </w:r>
      <w:r>
        <w:rPr>
          <w:rFonts w:hint="eastAsia" w:ascii="宋体" w:eastAsia="宋体"/>
          <w:sz w:val="32"/>
        </w:rPr>
        <w:t>%</w:t>
      </w:r>
      <w:r>
        <w:rPr>
          <w:sz w:val="32"/>
        </w:rPr>
        <w:t>，变动原因：</w:t>
      </w:r>
      <w:r>
        <w:rPr>
          <w:sz w:val="31"/>
        </w:rPr>
        <w:t>本单位无因公出国 (境) 费支出</w:t>
      </w:r>
      <w:r>
        <w:rPr>
          <w:sz w:val="32"/>
        </w:rPr>
        <w:t>。</w:t>
      </w:r>
    </w:p>
    <w:p>
      <w:pPr>
        <w:spacing w:after="0" w:line="328" w:lineRule="auto"/>
        <w:jc w:val="both"/>
        <w:rPr>
          <w:sz w:val="32"/>
        </w:rPr>
        <w:sectPr>
          <w:pgSz w:w="11920" w:h="16860"/>
          <w:pgMar w:top="1500" w:right="380" w:bottom="280" w:left="1660" w:header="720" w:footer="720" w:gutter="0"/>
          <w:pgBorders>
            <w:top w:val="none" w:sz="0" w:space="0"/>
            <w:left w:val="none" w:sz="0" w:space="0"/>
            <w:bottom w:val="none" w:sz="0" w:space="0"/>
            <w:right w:val="none" w:sz="0" w:space="0"/>
          </w:pgBorders>
          <w:cols w:space="720" w:num="1"/>
        </w:sectPr>
      </w:pPr>
    </w:p>
    <w:p>
      <w:pPr>
        <w:pStyle w:val="11"/>
        <w:numPr>
          <w:ilvl w:val="2"/>
          <w:numId w:val="8"/>
        </w:numPr>
        <w:tabs>
          <w:tab w:val="left" w:pos="1023"/>
        </w:tabs>
        <w:spacing w:before="39" w:after="0" w:line="240" w:lineRule="auto"/>
        <w:ind w:left="1022" w:right="0" w:hanging="243"/>
        <w:jc w:val="left"/>
        <w:rPr>
          <w:sz w:val="32"/>
        </w:rPr>
      </w:pPr>
      <w:r>
        <w:rPr>
          <w:spacing w:val="-6"/>
          <w:sz w:val="32"/>
        </w:rPr>
        <w:t xml:space="preserve">公务用车购置及运行维护费支出 </w:t>
      </w:r>
      <w:r>
        <w:rPr>
          <w:rFonts w:ascii="Times New Roman" w:eastAsia="Times New Roman"/>
          <w:sz w:val="32"/>
          <w:u w:val="single"/>
        </w:rPr>
        <w:t>0.00</w:t>
      </w:r>
      <w:r>
        <w:rPr>
          <w:rFonts w:ascii="Times New Roman" w:eastAsia="Times New Roman"/>
          <w:spacing w:val="-17"/>
          <w:sz w:val="32"/>
        </w:rPr>
        <w:t xml:space="preserve"> </w:t>
      </w:r>
      <w:r>
        <w:rPr>
          <w:sz w:val="32"/>
        </w:rPr>
        <w:t>万元。其中：</w:t>
      </w:r>
    </w:p>
    <w:p>
      <w:pPr>
        <w:pStyle w:val="5"/>
        <w:spacing w:before="6"/>
        <w:rPr>
          <w:sz w:val="33"/>
        </w:rPr>
      </w:pPr>
    </w:p>
    <w:p>
      <w:pPr>
        <w:pStyle w:val="11"/>
        <w:numPr>
          <w:ilvl w:val="0"/>
          <w:numId w:val="9"/>
        </w:numPr>
        <w:tabs>
          <w:tab w:val="left" w:pos="1592"/>
        </w:tabs>
        <w:spacing w:before="1" w:after="0" w:line="240" w:lineRule="auto"/>
        <w:ind w:left="1592" w:right="0" w:hanging="812"/>
        <w:jc w:val="left"/>
        <w:rPr>
          <w:sz w:val="32"/>
        </w:rPr>
      </w:pPr>
      <w:r>
        <w:rPr>
          <w:spacing w:val="-5"/>
          <w:sz w:val="32"/>
        </w:rPr>
        <w:t xml:space="preserve">公务用车购置支出 </w:t>
      </w:r>
      <w:r>
        <w:rPr>
          <w:rFonts w:ascii="Times New Roman" w:eastAsia="Times New Roman"/>
          <w:sz w:val="32"/>
          <w:u w:val="single"/>
        </w:rPr>
        <w:t>0.00</w:t>
      </w:r>
      <w:r>
        <w:rPr>
          <w:rFonts w:ascii="Times New Roman" w:eastAsia="Times New Roman"/>
          <w:spacing w:val="-14"/>
          <w:sz w:val="32"/>
        </w:rPr>
        <w:t xml:space="preserve"> </w:t>
      </w:r>
      <w:r>
        <w:rPr>
          <w:spacing w:val="4"/>
          <w:sz w:val="32"/>
        </w:rPr>
        <w:t>万元。本年度使用财政拨</w:t>
      </w:r>
    </w:p>
    <w:p>
      <w:pPr>
        <w:spacing w:before="149" w:line="326" w:lineRule="auto"/>
        <w:ind w:left="140" w:right="1419" w:firstLine="0"/>
        <w:jc w:val="both"/>
        <w:rPr>
          <w:sz w:val="32"/>
        </w:rPr>
      </w:pPr>
      <w:r>
        <w:rPr>
          <w:spacing w:val="-1"/>
          <w:sz w:val="32"/>
        </w:rPr>
        <w:t xml:space="preserve">款购置公务用车 </w:t>
      </w:r>
      <w:r>
        <w:rPr>
          <w:rFonts w:ascii="Times New Roman" w:eastAsia="Times New Roman"/>
          <w:sz w:val="32"/>
          <w:u w:val="single"/>
        </w:rPr>
        <w:t>0</w:t>
      </w:r>
      <w:r>
        <w:rPr>
          <w:rFonts w:ascii="Times New Roman" w:eastAsia="Times New Roman"/>
          <w:spacing w:val="-7"/>
          <w:sz w:val="32"/>
        </w:rPr>
        <w:t xml:space="preserve"> </w:t>
      </w:r>
      <w:r>
        <w:rPr>
          <w:spacing w:val="4"/>
          <w:sz w:val="32"/>
        </w:rPr>
        <w:t xml:space="preserve">辆。与上年决算相比，增加 </w:t>
      </w:r>
      <w:r>
        <w:rPr>
          <w:rFonts w:ascii="Times New Roman" w:eastAsia="Times New Roman"/>
          <w:sz w:val="32"/>
          <w:u w:val="single"/>
        </w:rPr>
        <w:t>0.00</w:t>
      </w:r>
      <w:r>
        <w:rPr>
          <w:rFonts w:ascii="Times New Roman" w:eastAsia="Times New Roman"/>
          <w:spacing w:val="-10"/>
          <w:sz w:val="32"/>
        </w:rPr>
        <w:t xml:space="preserve"> </w:t>
      </w:r>
      <w:r>
        <w:rPr>
          <w:spacing w:val="8"/>
          <w:sz w:val="32"/>
        </w:rPr>
        <w:t xml:space="preserve">万元， </w:t>
      </w:r>
      <w:r>
        <w:rPr>
          <w:spacing w:val="-22"/>
          <w:sz w:val="32"/>
        </w:rPr>
        <w:t xml:space="preserve">增长 </w:t>
      </w:r>
      <w:r>
        <w:rPr>
          <w:rFonts w:ascii="Times New Roman" w:eastAsia="Times New Roman"/>
          <w:sz w:val="32"/>
          <w:u w:val="single"/>
        </w:rPr>
        <w:t>0.00</w:t>
      </w:r>
      <w:r>
        <w:rPr>
          <w:rFonts w:hint="eastAsia" w:ascii="宋体" w:eastAsia="宋体"/>
          <w:sz w:val="32"/>
        </w:rPr>
        <w:t>%</w:t>
      </w:r>
      <w:r>
        <w:rPr>
          <w:sz w:val="32"/>
        </w:rPr>
        <w:t>，变动原因：</w:t>
      </w:r>
      <w:r>
        <w:rPr>
          <w:spacing w:val="6"/>
          <w:sz w:val="31"/>
        </w:rPr>
        <w:t>本单位无公务用车购置支出</w:t>
      </w:r>
      <w:r>
        <w:rPr>
          <w:sz w:val="32"/>
        </w:rPr>
        <w:t>。</w:t>
      </w:r>
    </w:p>
    <w:p>
      <w:pPr>
        <w:pStyle w:val="11"/>
        <w:numPr>
          <w:ilvl w:val="0"/>
          <w:numId w:val="9"/>
        </w:numPr>
        <w:tabs>
          <w:tab w:val="left" w:pos="1592"/>
        </w:tabs>
        <w:spacing w:before="284" w:after="0" w:line="328" w:lineRule="auto"/>
        <w:ind w:left="140" w:right="1419" w:firstLine="640"/>
        <w:jc w:val="both"/>
        <w:rPr>
          <w:sz w:val="32"/>
        </w:rPr>
      </w:pPr>
      <w:r>
        <w:rPr>
          <w:spacing w:val="-4"/>
          <w:sz w:val="32"/>
        </w:rPr>
        <w:t xml:space="preserve">公务用车运行维护费支出 </w:t>
      </w:r>
      <w:r>
        <w:rPr>
          <w:rFonts w:ascii="Times New Roman" w:eastAsia="Times New Roman"/>
          <w:sz w:val="32"/>
          <w:u w:val="single"/>
        </w:rPr>
        <w:t>0.00</w:t>
      </w:r>
      <w:r>
        <w:rPr>
          <w:rFonts w:ascii="Times New Roman" w:eastAsia="Times New Roman"/>
          <w:spacing w:val="-19"/>
          <w:sz w:val="32"/>
        </w:rPr>
        <w:t xml:space="preserve"> </w:t>
      </w:r>
      <w:r>
        <w:rPr>
          <w:spacing w:val="2"/>
          <w:sz w:val="32"/>
        </w:rPr>
        <w:t>万元。公务用车运</w:t>
      </w:r>
      <w:r>
        <w:rPr>
          <w:spacing w:val="11"/>
          <w:w w:val="95"/>
          <w:sz w:val="32"/>
        </w:rPr>
        <w:t xml:space="preserve">行维护费主要用于按规定保留的公务用车的燃料费、维修 </w:t>
      </w:r>
      <w:r>
        <w:rPr>
          <w:spacing w:val="24"/>
          <w:w w:val="95"/>
          <w:sz w:val="32"/>
        </w:rPr>
        <w:t>费、过桥过路费、保险费、安全奖励费用等支出。截至</w:t>
      </w:r>
      <w:r>
        <w:rPr>
          <w:rFonts w:ascii="Times New Roman" w:eastAsia="Times New Roman"/>
          <w:sz w:val="32"/>
        </w:rPr>
        <w:t>2022</w:t>
      </w:r>
      <w:r>
        <w:rPr>
          <w:rFonts w:ascii="Times New Roman" w:eastAsia="Times New Roman"/>
          <w:spacing w:val="-7"/>
          <w:sz w:val="32"/>
        </w:rPr>
        <w:t xml:space="preserve"> </w:t>
      </w:r>
      <w:r>
        <w:rPr>
          <w:spacing w:val="-37"/>
          <w:sz w:val="32"/>
        </w:rPr>
        <w:t xml:space="preserve">年 </w:t>
      </w:r>
      <w:r>
        <w:rPr>
          <w:rFonts w:ascii="Times New Roman" w:eastAsia="Times New Roman"/>
          <w:sz w:val="32"/>
        </w:rPr>
        <w:t>12</w:t>
      </w:r>
      <w:r>
        <w:rPr>
          <w:rFonts w:ascii="Times New Roman" w:eastAsia="Times New Roman"/>
          <w:spacing w:val="-7"/>
          <w:sz w:val="32"/>
        </w:rPr>
        <w:t xml:space="preserve"> </w:t>
      </w:r>
      <w:r>
        <w:rPr>
          <w:spacing w:val="-36"/>
          <w:sz w:val="32"/>
        </w:rPr>
        <w:t xml:space="preserve">月 </w:t>
      </w:r>
      <w:r>
        <w:rPr>
          <w:rFonts w:ascii="Times New Roman" w:eastAsia="Times New Roman"/>
          <w:sz w:val="32"/>
        </w:rPr>
        <w:t>31</w:t>
      </w:r>
      <w:r>
        <w:rPr>
          <w:rFonts w:ascii="Times New Roman" w:eastAsia="Times New Roman"/>
          <w:spacing w:val="-9"/>
          <w:sz w:val="32"/>
        </w:rPr>
        <w:t xml:space="preserve"> </w:t>
      </w:r>
      <w:r>
        <w:rPr>
          <w:spacing w:val="11"/>
          <w:sz w:val="32"/>
        </w:rPr>
        <w:t>日，使用财政拨款开支的公务用车保有量</w:t>
      </w:r>
    </w:p>
    <w:p>
      <w:pPr>
        <w:spacing w:before="0" w:line="326" w:lineRule="auto"/>
        <w:ind w:left="140" w:right="1419" w:firstLine="0"/>
        <w:jc w:val="both"/>
        <w:rPr>
          <w:sz w:val="32"/>
        </w:rPr>
      </w:pPr>
      <w:r>
        <w:rPr>
          <w:spacing w:val="-38"/>
          <w:sz w:val="32"/>
        </w:rPr>
        <w:t xml:space="preserve">为 </w:t>
      </w:r>
      <w:r>
        <w:rPr>
          <w:rFonts w:ascii="Times New Roman" w:eastAsia="Times New Roman"/>
          <w:sz w:val="32"/>
          <w:u w:val="single"/>
        </w:rPr>
        <w:t>0</w:t>
      </w:r>
      <w:r>
        <w:rPr>
          <w:rFonts w:ascii="Times New Roman" w:eastAsia="Times New Roman"/>
          <w:sz w:val="32"/>
        </w:rPr>
        <w:t xml:space="preserve"> </w:t>
      </w:r>
      <w:r>
        <w:rPr>
          <w:spacing w:val="-1"/>
          <w:sz w:val="32"/>
        </w:rPr>
        <w:t xml:space="preserve">辆。与上年决算相比，增加 </w:t>
      </w:r>
      <w:r>
        <w:rPr>
          <w:rFonts w:ascii="Times New Roman" w:eastAsia="Times New Roman"/>
          <w:sz w:val="32"/>
          <w:u w:val="single"/>
        </w:rPr>
        <w:t>0.00</w:t>
      </w:r>
      <w:r>
        <w:rPr>
          <w:rFonts w:ascii="Times New Roman" w:eastAsia="Times New Roman"/>
          <w:sz w:val="32"/>
        </w:rPr>
        <w:t xml:space="preserve"> </w:t>
      </w:r>
      <w:r>
        <w:rPr>
          <w:spacing w:val="-9"/>
          <w:sz w:val="32"/>
        </w:rPr>
        <w:t xml:space="preserve">万元，增长 </w:t>
      </w:r>
      <w:r>
        <w:rPr>
          <w:rFonts w:ascii="Times New Roman" w:eastAsia="Times New Roman"/>
          <w:sz w:val="30"/>
          <w:u w:val="single"/>
        </w:rPr>
        <w:t>0.00</w:t>
      </w:r>
      <w:r>
        <w:rPr>
          <w:rFonts w:hint="eastAsia" w:ascii="宋体" w:eastAsia="宋体"/>
          <w:sz w:val="32"/>
        </w:rPr>
        <w:t>%</w:t>
      </w:r>
      <w:r>
        <w:rPr>
          <w:sz w:val="32"/>
        </w:rPr>
        <w:t>，变动原因：</w:t>
      </w:r>
      <w:r>
        <w:rPr>
          <w:spacing w:val="6"/>
          <w:sz w:val="31"/>
        </w:rPr>
        <w:t>本单位无公务用车运行维护费支出</w:t>
      </w:r>
      <w:r>
        <w:rPr>
          <w:sz w:val="32"/>
        </w:rPr>
        <w:t>。</w:t>
      </w:r>
    </w:p>
    <w:p>
      <w:pPr>
        <w:pStyle w:val="11"/>
        <w:numPr>
          <w:ilvl w:val="2"/>
          <w:numId w:val="8"/>
        </w:numPr>
        <w:tabs>
          <w:tab w:val="left" w:pos="1023"/>
        </w:tabs>
        <w:spacing w:before="279" w:after="0" w:line="240" w:lineRule="auto"/>
        <w:ind w:left="1022" w:right="0" w:hanging="243"/>
        <w:jc w:val="left"/>
        <w:rPr>
          <w:sz w:val="32"/>
        </w:rPr>
      </w:pPr>
      <w:r>
        <w:rPr>
          <w:spacing w:val="-10"/>
          <w:sz w:val="32"/>
        </w:rPr>
        <w:t xml:space="preserve">公务接待费支出 </w:t>
      </w:r>
      <w:r>
        <w:rPr>
          <w:rFonts w:ascii="Times New Roman" w:eastAsia="Times New Roman"/>
          <w:sz w:val="32"/>
          <w:u w:val="single"/>
        </w:rPr>
        <w:t>0.00</w:t>
      </w:r>
      <w:r>
        <w:rPr>
          <w:rFonts w:ascii="Times New Roman" w:eastAsia="Times New Roman"/>
          <w:spacing w:val="-17"/>
          <w:sz w:val="32"/>
        </w:rPr>
        <w:t xml:space="preserve"> </w:t>
      </w:r>
      <w:r>
        <w:rPr>
          <w:sz w:val="32"/>
        </w:rPr>
        <w:t>万元。其中：国内公务接待支出</w:t>
      </w:r>
    </w:p>
    <w:p>
      <w:pPr>
        <w:pStyle w:val="5"/>
        <w:spacing w:before="149"/>
        <w:ind w:left="140"/>
      </w:pPr>
      <w:r>
        <w:rPr>
          <w:rFonts w:ascii="Times New Roman" w:eastAsia="Times New Roman"/>
          <w:u w:val="single"/>
        </w:rPr>
        <w:t>0.00</w:t>
      </w:r>
      <w:r>
        <w:rPr>
          <w:rFonts w:ascii="Times New Roman" w:eastAsia="Times New Roman"/>
          <w:spacing w:val="-18"/>
        </w:rPr>
        <w:t xml:space="preserve"> </w:t>
      </w:r>
      <w:r>
        <w:rPr>
          <w:spacing w:val="-11"/>
        </w:rPr>
        <w:t xml:space="preserve">万元，接待 </w:t>
      </w:r>
      <w:r>
        <w:rPr>
          <w:rFonts w:ascii="Times New Roman" w:eastAsia="Times New Roman"/>
          <w:u w:val="single"/>
        </w:rPr>
        <w:t>0</w:t>
      </w:r>
      <w:r>
        <w:rPr>
          <w:rFonts w:ascii="Times New Roman" w:eastAsia="Times New Roman"/>
          <w:spacing w:val="-16"/>
        </w:rPr>
        <w:t xml:space="preserve"> </w:t>
      </w:r>
      <w:r>
        <w:rPr>
          <w:spacing w:val="5"/>
        </w:rPr>
        <w:t>批次，</w:t>
      </w:r>
      <w:r>
        <w:rPr>
          <w:rFonts w:ascii="Times New Roman" w:eastAsia="Times New Roman"/>
          <w:spacing w:val="3"/>
          <w:u w:val="single"/>
        </w:rPr>
        <w:t>0</w:t>
      </w:r>
      <w:r>
        <w:rPr>
          <w:rFonts w:ascii="Times New Roman" w:eastAsia="Times New Roman"/>
          <w:spacing w:val="-17"/>
        </w:rPr>
        <w:t xml:space="preserve"> </w:t>
      </w:r>
      <w:r>
        <w:rPr>
          <w:spacing w:val="5"/>
        </w:rPr>
        <w:t>人次；国（</w:t>
      </w:r>
      <w:r>
        <w:rPr>
          <w:spacing w:val="7"/>
        </w:rPr>
        <w:t>境</w:t>
      </w:r>
      <w:r>
        <w:rPr>
          <w:spacing w:val="5"/>
        </w:rPr>
        <w:t>）</w:t>
      </w:r>
      <w:r>
        <w:rPr>
          <w:spacing w:val="4"/>
        </w:rPr>
        <w:t>外公务接待支出</w:t>
      </w:r>
    </w:p>
    <w:p>
      <w:pPr>
        <w:pStyle w:val="5"/>
        <w:spacing w:before="151"/>
        <w:ind w:left="140"/>
      </w:pPr>
      <w:r>
        <w:rPr>
          <w:rFonts w:ascii="Times New Roman" w:eastAsia="Times New Roman"/>
          <w:u w:val="single"/>
        </w:rPr>
        <w:t>0.00</w:t>
      </w:r>
      <w:r>
        <w:rPr>
          <w:rFonts w:ascii="Times New Roman" w:eastAsia="Times New Roman"/>
          <w:spacing w:val="-4"/>
        </w:rPr>
        <w:t xml:space="preserve"> </w:t>
      </w:r>
      <w:r>
        <w:rPr>
          <w:spacing w:val="1"/>
        </w:rPr>
        <w:t xml:space="preserve">万元，接待 </w:t>
      </w:r>
      <w:r>
        <w:rPr>
          <w:rFonts w:ascii="Times New Roman" w:eastAsia="Times New Roman"/>
          <w:u w:val="single"/>
        </w:rPr>
        <w:t>0</w:t>
      </w:r>
      <w:r>
        <w:rPr>
          <w:rFonts w:ascii="Times New Roman" w:eastAsia="Times New Roman"/>
        </w:rPr>
        <w:t xml:space="preserve"> </w:t>
      </w:r>
      <w:r>
        <w:rPr>
          <w:spacing w:val="16"/>
        </w:rPr>
        <w:t>批次，</w:t>
      </w:r>
      <w:r>
        <w:rPr>
          <w:rFonts w:ascii="Times New Roman" w:eastAsia="Times New Roman"/>
          <w:spacing w:val="8"/>
          <w:u w:val="single"/>
        </w:rPr>
        <w:t>0</w:t>
      </w:r>
      <w:r>
        <w:rPr>
          <w:rFonts w:ascii="Times New Roman" w:eastAsia="Times New Roman"/>
        </w:rPr>
        <w:t xml:space="preserve"> </w:t>
      </w:r>
      <w:r>
        <w:rPr>
          <w:spacing w:val="17"/>
        </w:rPr>
        <w:t>人次。与上年决算相比，增加</w:t>
      </w:r>
    </w:p>
    <w:p>
      <w:pPr>
        <w:pStyle w:val="5"/>
        <w:spacing w:before="150" w:line="326" w:lineRule="auto"/>
        <w:ind w:left="140" w:right="1419"/>
      </w:pPr>
      <w:r>
        <w:rPr>
          <w:rFonts w:ascii="Times New Roman" w:eastAsia="Times New Roman"/>
          <w:u w:val="single"/>
        </w:rPr>
        <w:t>0.00</w:t>
      </w:r>
      <w:r>
        <w:rPr>
          <w:rFonts w:ascii="Times New Roman" w:eastAsia="Times New Roman"/>
        </w:rPr>
        <w:t xml:space="preserve"> </w:t>
      </w:r>
      <w:r>
        <w:t xml:space="preserve">万元，增长 </w:t>
      </w:r>
      <w:r>
        <w:rPr>
          <w:rFonts w:ascii="Times New Roman" w:eastAsia="Times New Roman"/>
          <w:u w:val="single"/>
        </w:rPr>
        <w:t>0.00</w:t>
      </w:r>
      <w:r>
        <w:rPr>
          <w:rFonts w:hint="eastAsia" w:ascii="宋体" w:eastAsia="宋体"/>
        </w:rPr>
        <w:t>%</w:t>
      </w:r>
      <w:r>
        <w:t>，变动原因：本单位无公务接待费支出。</w:t>
      </w:r>
    </w:p>
    <w:p>
      <w:pPr>
        <w:pStyle w:val="3"/>
        <w:spacing w:before="284"/>
      </w:pPr>
      <w:r>
        <w:t>九、政府性基金预算财政拨款支出决算情况说明</w:t>
      </w:r>
    </w:p>
    <w:p>
      <w:pPr>
        <w:pStyle w:val="5"/>
        <w:spacing w:before="7"/>
        <w:rPr>
          <w:rFonts w:ascii="黑体"/>
          <w:b/>
          <w:sz w:val="33"/>
        </w:rPr>
      </w:pPr>
    </w:p>
    <w:p>
      <w:pPr>
        <w:pStyle w:val="5"/>
        <w:ind w:right="1419"/>
        <w:jc w:val="right"/>
      </w:pPr>
      <w:r>
        <w:rPr>
          <w:spacing w:val="1"/>
        </w:rPr>
        <w:t xml:space="preserve">锡林郭勒盟农村牧区社会事业发展中心单位 </w:t>
      </w:r>
      <w:r>
        <w:rPr>
          <w:rFonts w:hint="eastAsia" w:ascii="宋体" w:eastAsia="宋体"/>
        </w:rPr>
        <w:t>2022</w:t>
      </w:r>
      <w:r>
        <w:rPr>
          <w:rFonts w:hint="eastAsia" w:ascii="宋体" w:eastAsia="宋体"/>
          <w:spacing w:val="-84"/>
        </w:rPr>
        <w:t xml:space="preserve"> </w:t>
      </w:r>
      <w:r>
        <w:rPr>
          <w:spacing w:val="3"/>
        </w:rPr>
        <w:t>年度</w:t>
      </w:r>
    </w:p>
    <w:p>
      <w:pPr>
        <w:pStyle w:val="5"/>
        <w:spacing w:before="151"/>
        <w:ind w:right="1419"/>
        <w:jc w:val="right"/>
      </w:pPr>
      <w:r>
        <w:rPr>
          <w:spacing w:val="14"/>
        </w:rPr>
        <w:t xml:space="preserve">政府性基金支出决算 </w:t>
      </w:r>
      <w:r>
        <w:rPr>
          <w:rFonts w:ascii="Times New Roman" w:eastAsia="Times New Roman"/>
          <w:u w:val="single"/>
        </w:rPr>
        <w:t>0.00</w:t>
      </w:r>
      <w:r>
        <w:rPr>
          <w:rFonts w:ascii="Times New Roman" w:eastAsia="Times New Roman"/>
          <w:spacing w:val="1"/>
        </w:rPr>
        <w:t xml:space="preserve"> </w:t>
      </w:r>
      <w:r>
        <w:rPr>
          <w:spacing w:val="9"/>
        </w:rPr>
        <w:t>万元。与上年决算相比， 增加</w:t>
      </w:r>
    </w:p>
    <w:p>
      <w:pPr>
        <w:pStyle w:val="5"/>
        <w:spacing w:before="150" w:line="326" w:lineRule="auto"/>
        <w:ind w:left="140" w:right="1419"/>
      </w:pPr>
      <w:r>
        <w:rPr>
          <w:rFonts w:ascii="Times New Roman" w:eastAsia="Times New Roman"/>
          <w:u w:val="single"/>
        </w:rPr>
        <w:t>0.00</w:t>
      </w:r>
      <w:r>
        <w:rPr>
          <w:rFonts w:ascii="Times New Roman" w:eastAsia="Times New Roman"/>
        </w:rPr>
        <w:t xml:space="preserve"> </w:t>
      </w:r>
      <w:r>
        <w:t xml:space="preserve">万元，增长 </w:t>
      </w:r>
      <w:r>
        <w:rPr>
          <w:rFonts w:ascii="Times New Roman" w:eastAsia="Times New Roman"/>
          <w:u w:val="single"/>
        </w:rPr>
        <w:t>0.00</w:t>
      </w:r>
      <w:r>
        <w:rPr>
          <w:rFonts w:hint="eastAsia" w:ascii="宋体" w:eastAsia="宋体"/>
        </w:rPr>
        <w:t>%</w:t>
      </w:r>
      <w:r>
        <w:t>，变动原因：本单位无政府性基金预算财政拨款收、支、余。</w:t>
      </w:r>
    </w:p>
    <w:p>
      <w:pPr>
        <w:pStyle w:val="3"/>
        <w:spacing w:before="284"/>
      </w:pPr>
      <w:r>
        <w:t>十、国有资本经营预算财政拨款支出决算情况说明</w:t>
      </w:r>
    </w:p>
    <w:p>
      <w:pPr>
        <w:spacing w:after="0"/>
        <w:sectPr>
          <w:pgSz w:w="11920" w:h="16860"/>
          <w:pgMar w:top="1520" w:right="380" w:bottom="280" w:left="1660" w:header="720" w:footer="720" w:gutter="0"/>
          <w:pgBorders>
            <w:top w:val="none" w:sz="0" w:space="0"/>
            <w:left w:val="none" w:sz="0" w:space="0"/>
            <w:bottom w:val="none" w:sz="0" w:space="0"/>
            <w:right w:val="none" w:sz="0" w:space="0"/>
          </w:pgBorders>
          <w:cols w:space="720" w:num="1"/>
        </w:sectPr>
      </w:pPr>
    </w:p>
    <w:p>
      <w:pPr>
        <w:pStyle w:val="5"/>
        <w:spacing w:before="39"/>
        <w:ind w:left="780"/>
        <w:jc w:val="both"/>
      </w:pPr>
      <w:r>
        <w:rPr>
          <w:spacing w:val="2"/>
        </w:rPr>
        <w:t xml:space="preserve">锡林郭勒盟农村牧区社会事业发展中心单位 </w:t>
      </w:r>
      <w:r>
        <w:rPr>
          <w:rFonts w:hint="eastAsia" w:ascii="宋体" w:eastAsia="宋体"/>
        </w:rPr>
        <w:t>2022</w:t>
      </w:r>
      <w:r>
        <w:rPr>
          <w:rFonts w:hint="eastAsia" w:ascii="宋体" w:eastAsia="宋体"/>
          <w:spacing w:val="-74"/>
        </w:rPr>
        <w:t xml:space="preserve"> </w:t>
      </w:r>
      <w:r>
        <w:rPr>
          <w:spacing w:val="3"/>
        </w:rPr>
        <w:t>年度</w:t>
      </w:r>
    </w:p>
    <w:p>
      <w:pPr>
        <w:pStyle w:val="5"/>
        <w:spacing w:before="149" w:line="328" w:lineRule="auto"/>
        <w:ind w:left="140" w:right="1419"/>
        <w:jc w:val="both"/>
      </w:pPr>
      <w:r>
        <w:rPr>
          <w:spacing w:val="2"/>
        </w:rPr>
        <w:t xml:space="preserve">国有资本经营预算支出决算 </w:t>
      </w:r>
      <w:r>
        <w:rPr>
          <w:rFonts w:ascii="Times New Roman" w:eastAsia="Times New Roman"/>
          <w:u w:val="single"/>
        </w:rPr>
        <w:t>0.00</w:t>
      </w:r>
      <w:r>
        <w:rPr>
          <w:rFonts w:ascii="Times New Roman" w:eastAsia="Times New Roman"/>
        </w:rPr>
        <w:t xml:space="preserve"> </w:t>
      </w:r>
      <w:r>
        <w:rPr>
          <w:spacing w:val="9"/>
        </w:rPr>
        <w:t xml:space="preserve">万元。与上年决算相比， </w:t>
      </w:r>
      <w:r>
        <w:rPr>
          <w:spacing w:val="-26"/>
        </w:rPr>
        <w:t xml:space="preserve">增加 </w:t>
      </w:r>
      <w:r>
        <w:rPr>
          <w:rFonts w:ascii="Times New Roman" w:eastAsia="Times New Roman"/>
          <w:u w:val="single"/>
        </w:rPr>
        <w:t>0.00</w:t>
      </w:r>
      <w:r>
        <w:rPr>
          <w:rFonts w:ascii="Times New Roman" w:eastAsia="Times New Roman"/>
        </w:rPr>
        <w:t xml:space="preserve"> </w:t>
      </w:r>
      <w:r>
        <w:rPr>
          <w:spacing w:val="-10"/>
        </w:rPr>
        <w:t xml:space="preserve">万元，增长 </w:t>
      </w:r>
      <w:r>
        <w:rPr>
          <w:rFonts w:ascii="Times New Roman" w:eastAsia="Times New Roman"/>
          <w:u w:val="single"/>
        </w:rPr>
        <w:t>0.00</w:t>
      </w:r>
      <w:r>
        <w:rPr>
          <w:rFonts w:hint="eastAsia" w:ascii="宋体" w:eastAsia="宋体"/>
        </w:rPr>
        <w:t>%</w:t>
      </w:r>
      <w:r>
        <w:rPr>
          <w:spacing w:val="1"/>
        </w:rPr>
        <w:t>，变动原因：本单位无国有资本</w:t>
      </w:r>
      <w:r>
        <w:t>经营预算财政拨款收、支、余。</w:t>
      </w:r>
    </w:p>
    <w:p>
      <w:pPr>
        <w:pStyle w:val="3"/>
        <w:spacing w:before="275"/>
      </w:pPr>
      <w:r>
        <w:t>十一、项目支出决算情况说明</w:t>
      </w:r>
    </w:p>
    <w:p>
      <w:pPr>
        <w:pStyle w:val="5"/>
        <w:spacing w:before="7"/>
        <w:rPr>
          <w:rFonts w:ascii="黑体"/>
          <w:b/>
          <w:sz w:val="33"/>
        </w:rPr>
      </w:pPr>
    </w:p>
    <w:p>
      <w:pPr>
        <w:pStyle w:val="5"/>
        <w:spacing w:before="1" w:line="326" w:lineRule="auto"/>
        <w:ind w:left="140" w:right="1418" w:firstLine="640"/>
        <w:jc w:val="both"/>
        <w:rPr>
          <w:rFonts w:hint="eastAsia" w:ascii="宋体" w:eastAsia="宋体"/>
        </w:rPr>
      </w:pPr>
      <w:r>
        <w:rPr>
          <w:spacing w:val="1"/>
        </w:rPr>
        <w:t xml:space="preserve">锡林郭勒盟农村牧区社会事业发展中心单位 </w:t>
      </w:r>
      <w:r>
        <w:rPr>
          <w:rFonts w:hint="eastAsia" w:ascii="宋体" w:eastAsia="宋体"/>
        </w:rPr>
        <w:t>2022</w:t>
      </w:r>
      <w:r>
        <w:rPr>
          <w:rFonts w:hint="eastAsia" w:ascii="宋体" w:eastAsia="宋体"/>
          <w:spacing w:val="-83"/>
        </w:rPr>
        <w:t xml:space="preserve"> </w:t>
      </w:r>
      <w:r>
        <w:rPr>
          <w:spacing w:val="3"/>
        </w:rPr>
        <w:t>年度</w:t>
      </w:r>
      <w:r>
        <w:rPr>
          <w:spacing w:val="7"/>
        </w:rPr>
        <w:t>预算安排项目</w:t>
      </w:r>
      <w:r>
        <w:rPr>
          <w:spacing w:val="10"/>
          <w:u w:val="single"/>
        </w:rPr>
        <w:t xml:space="preserve"> </w:t>
      </w:r>
      <w:r>
        <w:rPr>
          <w:rFonts w:ascii="Times New Roman" w:eastAsia="Times New Roman"/>
          <w:u w:val="single"/>
        </w:rPr>
        <w:t>2</w:t>
      </w:r>
      <w:r>
        <w:rPr>
          <w:rFonts w:ascii="Times New Roman" w:eastAsia="Times New Roman"/>
          <w:spacing w:val="-8"/>
        </w:rPr>
        <w:t xml:space="preserve"> </w:t>
      </w:r>
      <w:r>
        <w:rPr>
          <w:spacing w:val="7"/>
        </w:rPr>
        <w:t>个，实施项目</w:t>
      </w:r>
      <w:r>
        <w:rPr>
          <w:spacing w:val="-74"/>
          <w:u w:val="single"/>
        </w:rPr>
        <w:t xml:space="preserve"> </w:t>
      </w:r>
      <w:r>
        <w:rPr>
          <w:rFonts w:ascii="Times New Roman" w:eastAsia="Times New Roman"/>
          <w:u w:val="single"/>
        </w:rPr>
        <w:t>2</w:t>
      </w:r>
      <w:r>
        <w:rPr>
          <w:rFonts w:ascii="Times New Roman" w:eastAsia="Times New Roman"/>
          <w:spacing w:val="18"/>
          <w:u w:val="single"/>
        </w:rPr>
        <w:t xml:space="preserve"> </w:t>
      </w:r>
      <w:r>
        <w:rPr>
          <w:spacing w:val="7"/>
        </w:rPr>
        <w:t>个，完成项目</w:t>
      </w:r>
      <w:r>
        <w:rPr>
          <w:spacing w:val="12"/>
          <w:u w:val="single"/>
        </w:rPr>
        <w:t xml:space="preserve"> </w:t>
      </w:r>
      <w:r>
        <w:rPr>
          <w:rFonts w:ascii="Times New Roman" w:eastAsia="Times New Roman"/>
          <w:u w:val="single"/>
        </w:rPr>
        <w:t>2</w:t>
      </w:r>
      <w:r>
        <w:rPr>
          <w:rFonts w:ascii="Times New Roman" w:eastAsia="Times New Roman"/>
          <w:spacing w:val="12"/>
        </w:rPr>
        <w:t xml:space="preserve"> </w:t>
      </w:r>
      <w:r>
        <w:rPr>
          <w:spacing w:val="5"/>
        </w:rPr>
        <w:t>个，项</w:t>
      </w:r>
      <w:r>
        <w:rPr>
          <w:spacing w:val="-8"/>
        </w:rPr>
        <w:t xml:space="preserve">目支出总金额 </w:t>
      </w:r>
      <w:r>
        <w:rPr>
          <w:rFonts w:ascii="Times New Roman" w:eastAsia="Times New Roman"/>
          <w:u w:val="single"/>
        </w:rPr>
        <w:t>17.01</w:t>
      </w:r>
      <w:r>
        <w:rPr>
          <w:rFonts w:ascii="Times New Roman" w:eastAsia="Times New Roman"/>
          <w:spacing w:val="-18"/>
        </w:rPr>
        <w:t xml:space="preserve"> </w:t>
      </w:r>
      <w:r>
        <w:rPr>
          <w:spacing w:val="-6"/>
        </w:rPr>
        <w:t xml:space="preserve">万元。资金来源包括年初结转结余 </w:t>
      </w:r>
      <w:r>
        <w:rPr>
          <w:rFonts w:hint="eastAsia" w:ascii="宋体" w:eastAsia="宋体"/>
          <w:u w:val="single"/>
        </w:rPr>
        <w:t>0.00</w:t>
      </w:r>
    </w:p>
    <w:p>
      <w:pPr>
        <w:pStyle w:val="5"/>
        <w:spacing w:before="7"/>
        <w:ind w:left="140"/>
        <w:rPr>
          <w:rFonts w:hint="eastAsia" w:ascii="宋体" w:eastAsia="宋体"/>
        </w:rPr>
      </w:pPr>
      <w:r>
        <w:rPr>
          <w:spacing w:val="6"/>
        </w:rPr>
        <w:t xml:space="preserve">万元，本年财政拨款金额 </w:t>
      </w:r>
      <w:r>
        <w:rPr>
          <w:rFonts w:ascii="Times New Roman" w:eastAsia="Times New Roman"/>
          <w:u w:val="single"/>
        </w:rPr>
        <w:t>17.00</w:t>
      </w:r>
      <w:r>
        <w:rPr>
          <w:rFonts w:ascii="Times New Roman" w:eastAsia="Times New Roman"/>
          <w:spacing w:val="-9"/>
        </w:rPr>
        <w:t xml:space="preserve"> </w:t>
      </w:r>
      <w:r>
        <w:rPr>
          <w:spacing w:val="5"/>
        </w:rPr>
        <w:t xml:space="preserve">万元，本年其他资金 </w:t>
      </w:r>
      <w:r>
        <w:rPr>
          <w:rFonts w:hint="eastAsia" w:ascii="宋体" w:eastAsia="宋体"/>
          <w:u w:val="single"/>
        </w:rPr>
        <w:t>0.01</w:t>
      </w:r>
    </w:p>
    <w:p>
      <w:pPr>
        <w:pStyle w:val="5"/>
        <w:spacing w:before="149"/>
        <w:ind w:left="140"/>
      </w:pPr>
      <w:r>
        <w:t>万元。</w:t>
      </w:r>
    </w:p>
    <w:p>
      <w:pPr>
        <w:pStyle w:val="5"/>
        <w:spacing w:before="7"/>
        <w:rPr>
          <w:sz w:val="33"/>
        </w:rPr>
      </w:pPr>
    </w:p>
    <w:p>
      <w:pPr>
        <w:pStyle w:val="3"/>
      </w:pPr>
      <w:r>
        <w:t>十二、机构运行经费支出决算情况说明</w:t>
      </w:r>
    </w:p>
    <w:p>
      <w:pPr>
        <w:pStyle w:val="5"/>
        <w:spacing w:before="7"/>
        <w:rPr>
          <w:rFonts w:ascii="黑体"/>
          <w:b/>
          <w:sz w:val="33"/>
        </w:rPr>
      </w:pPr>
    </w:p>
    <w:p>
      <w:pPr>
        <w:pStyle w:val="5"/>
        <w:ind w:left="780"/>
        <w:jc w:val="both"/>
      </w:pPr>
      <w:r>
        <w:rPr>
          <w:spacing w:val="2"/>
        </w:rPr>
        <w:t xml:space="preserve">锡林郭勒盟农村牧区社会事业发展中心单位 </w:t>
      </w:r>
      <w:r>
        <w:rPr>
          <w:rFonts w:hint="eastAsia" w:ascii="宋体" w:eastAsia="宋体"/>
        </w:rPr>
        <w:t>2022</w:t>
      </w:r>
      <w:r>
        <w:rPr>
          <w:rFonts w:hint="eastAsia" w:ascii="宋体" w:eastAsia="宋体"/>
          <w:spacing w:val="-74"/>
        </w:rPr>
        <w:t xml:space="preserve"> </w:t>
      </w:r>
      <w:r>
        <w:rPr>
          <w:spacing w:val="3"/>
        </w:rPr>
        <w:t>年度</w:t>
      </w:r>
    </w:p>
    <w:p>
      <w:pPr>
        <w:pStyle w:val="5"/>
        <w:spacing w:before="150"/>
        <w:ind w:left="140"/>
      </w:pPr>
      <w:r>
        <w:t xml:space="preserve">机构运行经费支出决算 </w:t>
      </w:r>
      <w:r>
        <w:rPr>
          <w:rFonts w:ascii="Times New Roman" w:eastAsia="Times New Roman"/>
          <w:u w:val="single"/>
        </w:rPr>
        <w:t>9.95</w:t>
      </w:r>
      <w:r>
        <w:rPr>
          <w:rFonts w:ascii="Times New Roman" w:eastAsia="Times New Roman"/>
        </w:rPr>
        <w:t xml:space="preserve"> </w:t>
      </w:r>
      <w:r>
        <w:t>万元。比上年决算相比，减少</w:t>
      </w:r>
    </w:p>
    <w:p>
      <w:pPr>
        <w:pStyle w:val="5"/>
        <w:spacing w:before="7"/>
        <w:rPr>
          <w:sz w:val="33"/>
        </w:rPr>
      </w:pPr>
    </w:p>
    <w:p>
      <w:pPr>
        <w:pStyle w:val="5"/>
        <w:ind w:left="140"/>
        <w:jc w:val="both"/>
      </w:pPr>
      <w:r>
        <w:rPr>
          <w:rFonts w:ascii="Times New Roman" w:eastAsia="Times New Roman"/>
          <w:u w:val="single"/>
        </w:rPr>
        <w:t>3.19</w:t>
      </w:r>
      <w:r>
        <w:rPr>
          <w:rFonts w:ascii="Times New Roman" w:eastAsia="Times New Roman"/>
        </w:rPr>
        <w:t xml:space="preserve"> </w:t>
      </w:r>
      <w:r>
        <w:t xml:space="preserve">万元，减少 </w:t>
      </w:r>
      <w:r>
        <w:rPr>
          <w:rFonts w:ascii="Times New Roman" w:eastAsia="Times New Roman"/>
          <w:u w:val="single"/>
        </w:rPr>
        <w:t>24.28</w:t>
      </w:r>
      <w:r>
        <w:rPr>
          <w:rFonts w:hint="eastAsia" w:ascii="宋体" w:eastAsia="宋体"/>
        </w:rPr>
        <w:t>%</w:t>
      </w:r>
      <w:r>
        <w:t>，变动原因：上年购置了办公设备。</w:t>
      </w:r>
    </w:p>
    <w:p>
      <w:pPr>
        <w:pStyle w:val="5"/>
        <w:spacing w:before="7"/>
        <w:rPr>
          <w:sz w:val="33"/>
        </w:rPr>
      </w:pPr>
    </w:p>
    <w:p>
      <w:pPr>
        <w:pStyle w:val="3"/>
      </w:pPr>
      <w:r>
        <w:t>十三、政府采购支出决算情况说明</w:t>
      </w:r>
    </w:p>
    <w:p>
      <w:pPr>
        <w:pStyle w:val="5"/>
        <w:spacing w:before="7"/>
        <w:rPr>
          <w:rFonts w:ascii="黑体"/>
          <w:b/>
          <w:sz w:val="33"/>
        </w:rPr>
      </w:pPr>
    </w:p>
    <w:p>
      <w:pPr>
        <w:pStyle w:val="5"/>
        <w:ind w:right="1419"/>
        <w:jc w:val="right"/>
      </w:pPr>
      <w:r>
        <w:rPr>
          <w:spacing w:val="1"/>
        </w:rPr>
        <w:t xml:space="preserve">锡林郭勒盟农村牧区社会事业发展中心单位 </w:t>
      </w:r>
      <w:r>
        <w:rPr>
          <w:rFonts w:hint="eastAsia" w:ascii="宋体" w:eastAsia="宋体"/>
        </w:rPr>
        <w:t>2022</w:t>
      </w:r>
      <w:r>
        <w:rPr>
          <w:rFonts w:hint="eastAsia" w:ascii="宋体" w:eastAsia="宋体"/>
          <w:spacing w:val="-84"/>
        </w:rPr>
        <w:t xml:space="preserve"> </w:t>
      </w:r>
      <w:r>
        <w:rPr>
          <w:spacing w:val="3"/>
        </w:rPr>
        <w:t>年度</w:t>
      </w:r>
    </w:p>
    <w:p>
      <w:pPr>
        <w:pStyle w:val="5"/>
        <w:spacing w:before="152"/>
        <w:ind w:right="1419"/>
        <w:jc w:val="right"/>
      </w:pPr>
      <w:r>
        <w:rPr>
          <w:spacing w:val="12"/>
        </w:rPr>
        <w:t xml:space="preserve">政府采购支出总额 </w:t>
      </w:r>
      <w:r>
        <w:rPr>
          <w:rFonts w:ascii="Times New Roman" w:eastAsia="Times New Roman"/>
          <w:u w:val="single"/>
        </w:rPr>
        <w:t>3.94</w:t>
      </w:r>
      <w:r>
        <w:rPr>
          <w:rFonts w:ascii="Times New Roman" w:eastAsia="Times New Roman"/>
        </w:rPr>
        <w:t xml:space="preserve"> </w:t>
      </w:r>
      <w:r>
        <w:rPr>
          <w:spacing w:val="24"/>
        </w:rPr>
        <w:t>万元，其中：政府采购货物支出</w:t>
      </w:r>
    </w:p>
    <w:p>
      <w:pPr>
        <w:pStyle w:val="5"/>
        <w:spacing w:before="149" w:line="328" w:lineRule="auto"/>
        <w:ind w:left="140" w:right="1417"/>
        <w:jc w:val="both"/>
      </w:pPr>
      <w:r>
        <w:rPr>
          <w:rFonts w:ascii="Times New Roman" w:eastAsia="Times New Roman"/>
          <w:u w:val="single"/>
        </w:rPr>
        <w:t>3.94</w:t>
      </w:r>
      <w:r>
        <w:rPr>
          <w:rFonts w:ascii="Times New Roman" w:eastAsia="Times New Roman"/>
          <w:spacing w:val="-12"/>
        </w:rPr>
        <w:t xml:space="preserve"> </w:t>
      </w:r>
      <w:r>
        <w:rPr>
          <w:spacing w:val="2"/>
        </w:rPr>
        <w:t xml:space="preserve">万元、政府采购工程支出 </w:t>
      </w:r>
      <w:r>
        <w:rPr>
          <w:rFonts w:ascii="Times New Roman" w:eastAsia="Times New Roman"/>
          <w:u w:val="single"/>
        </w:rPr>
        <w:t>0.00</w:t>
      </w:r>
      <w:r>
        <w:rPr>
          <w:rFonts w:ascii="Times New Roman" w:eastAsia="Times New Roman"/>
          <w:spacing w:val="-8"/>
        </w:rPr>
        <w:t xml:space="preserve"> </w:t>
      </w:r>
      <w:r>
        <w:rPr>
          <w:spacing w:val="10"/>
        </w:rPr>
        <w:t>万元、政府采购服务支</w:t>
      </w:r>
      <w:r>
        <w:rPr>
          <w:spacing w:val="-34"/>
        </w:rPr>
        <w:t xml:space="preserve">出 </w:t>
      </w:r>
      <w:r>
        <w:rPr>
          <w:rFonts w:ascii="Times New Roman" w:eastAsia="Times New Roman"/>
          <w:u w:val="single"/>
        </w:rPr>
        <w:t>0.00</w:t>
      </w:r>
      <w:r>
        <w:rPr>
          <w:rFonts w:ascii="Times New Roman" w:eastAsia="Times New Roman"/>
          <w:spacing w:val="-12"/>
        </w:rPr>
        <w:t xml:space="preserve"> </w:t>
      </w:r>
      <w:r>
        <w:t xml:space="preserve">万元。授予中小企业合同金额 </w:t>
      </w:r>
      <w:r>
        <w:rPr>
          <w:rFonts w:ascii="Times New Roman" w:eastAsia="Times New Roman"/>
          <w:u w:val="single"/>
        </w:rPr>
        <w:t>0.95</w:t>
      </w:r>
      <w:r>
        <w:rPr>
          <w:rFonts w:ascii="Times New Roman" w:eastAsia="Times New Roman"/>
          <w:spacing w:val="-11"/>
        </w:rPr>
        <w:t xml:space="preserve"> </w:t>
      </w:r>
      <w:r>
        <w:rPr>
          <w:spacing w:val="6"/>
        </w:rPr>
        <w:t>万元，占政府采</w:t>
      </w:r>
      <w:r>
        <w:rPr>
          <w:spacing w:val="-6"/>
        </w:rPr>
        <w:t xml:space="preserve">购支出总额的 </w:t>
      </w:r>
      <w:r>
        <w:rPr>
          <w:rFonts w:ascii="Times New Roman" w:eastAsia="Times New Roman"/>
          <w:u w:val="single"/>
        </w:rPr>
        <w:t>24</w:t>
      </w:r>
      <w:r>
        <w:rPr>
          <w:rFonts w:ascii="Times New Roman" w:eastAsia="Times New Roman"/>
          <w:spacing w:val="6"/>
        </w:rPr>
        <w:t xml:space="preserve"> </w:t>
      </w:r>
      <w:r>
        <w:rPr>
          <w:rFonts w:hint="eastAsia" w:ascii="宋体" w:eastAsia="宋体"/>
          <w:spacing w:val="6"/>
        </w:rPr>
        <w:t>%</w:t>
      </w:r>
      <w:r>
        <w:t xml:space="preserve">，其中：授予小微企业合同金额 </w:t>
      </w:r>
      <w:r>
        <w:rPr>
          <w:rFonts w:ascii="Times New Roman" w:eastAsia="Times New Roman"/>
          <w:u w:val="single"/>
        </w:rPr>
        <w:t>0.95</w:t>
      </w:r>
      <w:r>
        <w:rPr>
          <w:rFonts w:ascii="Times New Roman" w:eastAsia="Times New Roman"/>
          <w:spacing w:val="-14"/>
        </w:rPr>
        <w:t xml:space="preserve"> </w:t>
      </w:r>
      <w:r>
        <w:t>万元，占授予中小企业合同金额的</w:t>
      </w:r>
      <w:r>
        <w:rPr>
          <w:spacing w:val="4"/>
          <w:u w:val="single"/>
        </w:rPr>
        <w:t xml:space="preserve"> </w:t>
      </w:r>
      <w:r>
        <w:rPr>
          <w:rFonts w:ascii="Times New Roman" w:eastAsia="Times New Roman"/>
          <w:u w:val="single"/>
        </w:rPr>
        <w:t>100</w:t>
      </w:r>
      <w:r>
        <w:rPr>
          <w:rFonts w:ascii="Times New Roman" w:eastAsia="Times New Roman"/>
          <w:spacing w:val="1"/>
        </w:rPr>
        <w:t xml:space="preserve"> </w:t>
      </w:r>
      <w:r>
        <w:rPr>
          <w:rFonts w:hint="eastAsia" w:ascii="宋体" w:eastAsia="宋体"/>
          <w:spacing w:val="2"/>
        </w:rPr>
        <w:t>%</w:t>
      </w:r>
      <w:r>
        <w:t>；货物采购授予中小</w:t>
      </w:r>
    </w:p>
    <w:p>
      <w:pPr>
        <w:spacing w:after="0" w:line="328" w:lineRule="auto"/>
        <w:jc w:val="both"/>
        <w:sectPr>
          <w:pgSz w:w="11920" w:h="16860"/>
          <w:pgMar w:top="1520" w:right="380" w:bottom="280" w:left="1660" w:header="720" w:footer="720" w:gutter="0"/>
          <w:pgBorders>
            <w:top w:val="none" w:sz="0" w:space="0"/>
            <w:left w:val="none" w:sz="0" w:space="0"/>
            <w:bottom w:val="none" w:sz="0" w:space="0"/>
            <w:right w:val="none" w:sz="0" w:space="0"/>
          </w:pgBorders>
          <w:cols w:space="720" w:num="1"/>
        </w:sectPr>
      </w:pPr>
    </w:p>
    <w:p>
      <w:pPr>
        <w:pStyle w:val="5"/>
        <w:spacing w:before="39" w:line="326" w:lineRule="auto"/>
        <w:ind w:left="140" w:right="1419"/>
        <w:jc w:val="both"/>
      </w:pPr>
      <w:r>
        <w:t>企业合同金额占货物支出合同金额的</w:t>
      </w:r>
      <w:r>
        <w:rPr>
          <w:spacing w:val="86"/>
          <w:u w:val="single"/>
        </w:rPr>
        <w:t xml:space="preserve"> </w:t>
      </w:r>
      <w:r>
        <w:rPr>
          <w:rFonts w:ascii="Times New Roman" w:eastAsia="Times New Roman"/>
          <w:u w:val="single"/>
        </w:rPr>
        <w:t>0</w:t>
      </w:r>
      <w:r>
        <w:rPr>
          <w:rFonts w:ascii="Times New Roman" w:eastAsia="Times New Roman"/>
        </w:rPr>
        <w:t xml:space="preserve"> </w:t>
      </w:r>
      <w:r>
        <w:rPr>
          <w:rFonts w:hint="eastAsia" w:ascii="宋体" w:eastAsia="宋体"/>
          <w:spacing w:val="2"/>
        </w:rPr>
        <w:t>%</w:t>
      </w:r>
      <w:r>
        <w:t>，工程采购授予中小企业合同金额占工程支出合同金额的</w:t>
      </w:r>
      <w:r>
        <w:rPr>
          <w:u w:val="single"/>
        </w:rPr>
        <w:t xml:space="preserve"> </w:t>
      </w:r>
      <w:r>
        <w:rPr>
          <w:rFonts w:ascii="Times New Roman" w:eastAsia="Times New Roman"/>
          <w:u w:val="single"/>
        </w:rPr>
        <w:t>0</w:t>
      </w:r>
      <w:r>
        <w:rPr>
          <w:rFonts w:ascii="Times New Roman" w:eastAsia="Times New Roman"/>
        </w:rPr>
        <w:t xml:space="preserve"> </w:t>
      </w:r>
      <w:r>
        <w:rPr>
          <w:rFonts w:hint="eastAsia" w:ascii="宋体" w:eastAsia="宋体"/>
          <w:spacing w:val="2"/>
        </w:rPr>
        <w:t>%</w:t>
      </w:r>
      <w:r>
        <w:t>，服务采购授予中小企业合同金额占服务支出合同金额的</w:t>
      </w:r>
      <w:r>
        <w:rPr>
          <w:u w:val="single"/>
        </w:rPr>
        <w:t xml:space="preserve"> </w:t>
      </w:r>
      <w:r>
        <w:rPr>
          <w:rFonts w:ascii="Times New Roman" w:eastAsia="Times New Roman"/>
          <w:u w:val="single"/>
        </w:rPr>
        <w:t>0</w:t>
      </w:r>
      <w:r>
        <w:rPr>
          <w:rFonts w:ascii="Times New Roman" w:eastAsia="Times New Roman"/>
        </w:rPr>
        <w:t xml:space="preserve"> </w:t>
      </w:r>
      <w:r>
        <w:rPr>
          <w:rFonts w:hint="eastAsia" w:ascii="宋体" w:eastAsia="宋体"/>
        </w:rPr>
        <w:t>%</w:t>
      </w:r>
      <w:r>
        <w:t>。</w:t>
      </w:r>
    </w:p>
    <w:p>
      <w:pPr>
        <w:pStyle w:val="3"/>
        <w:spacing w:before="285"/>
      </w:pPr>
      <w:r>
        <w:t>十四、国有资产占用情况说明</w:t>
      </w:r>
    </w:p>
    <w:p>
      <w:pPr>
        <w:pStyle w:val="5"/>
        <w:spacing w:before="7"/>
        <w:rPr>
          <w:rFonts w:ascii="黑体"/>
          <w:b/>
          <w:sz w:val="33"/>
        </w:rPr>
      </w:pPr>
    </w:p>
    <w:p>
      <w:pPr>
        <w:pStyle w:val="5"/>
        <w:ind w:right="1420"/>
        <w:jc w:val="right"/>
        <w:rPr>
          <w:rFonts w:ascii="Times New Roman" w:eastAsia="Times New Roman"/>
        </w:rPr>
      </w:pPr>
      <w:r>
        <w:rPr>
          <w:spacing w:val="5"/>
        </w:rPr>
        <w:t xml:space="preserve">锡林郭勒盟农村牧区社会事业发展中心单位截至 </w:t>
      </w:r>
      <w:r>
        <w:rPr>
          <w:rFonts w:ascii="Times New Roman" w:eastAsia="Times New Roman"/>
        </w:rPr>
        <w:t>2022</w:t>
      </w:r>
    </w:p>
    <w:p>
      <w:pPr>
        <w:pStyle w:val="5"/>
        <w:spacing w:before="152"/>
        <w:ind w:right="1419"/>
        <w:jc w:val="right"/>
      </w:pPr>
      <w:r>
        <w:rPr>
          <w:spacing w:val="-39"/>
        </w:rPr>
        <w:t xml:space="preserve">年 </w:t>
      </w:r>
      <w:r>
        <w:rPr>
          <w:rFonts w:ascii="Times New Roman" w:eastAsia="Times New Roman"/>
        </w:rPr>
        <w:t>12</w:t>
      </w:r>
      <w:r>
        <w:rPr>
          <w:rFonts w:ascii="Times New Roman" w:eastAsia="Times New Roman"/>
          <w:spacing w:val="-12"/>
        </w:rPr>
        <w:t xml:space="preserve"> </w:t>
      </w:r>
      <w:r>
        <w:rPr>
          <w:spacing w:val="-39"/>
        </w:rPr>
        <w:t xml:space="preserve">月 </w:t>
      </w:r>
      <w:r>
        <w:rPr>
          <w:rFonts w:ascii="Times New Roman" w:eastAsia="Times New Roman"/>
        </w:rPr>
        <w:t>31</w:t>
      </w:r>
      <w:r>
        <w:rPr>
          <w:rFonts w:ascii="Times New Roman" w:eastAsia="Times New Roman"/>
          <w:spacing w:val="-12"/>
        </w:rPr>
        <w:t xml:space="preserve"> </w:t>
      </w:r>
      <w:r>
        <w:rPr>
          <w:spacing w:val="-8"/>
        </w:rPr>
        <w:t xml:space="preserve">日，本单位共有车辆 </w:t>
      </w:r>
      <w:r>
        <w:rPr>
          <w:rFonts w:ascii="Times New Roman" w:eastAsia="Times New Roman"/>
          <w:u w:val="single"/>
        </w:rPr>
        <w:t>0</w:t>
      </w:r>
      <w:r>
        <w:rPr>
          <w:rFonts w:ascii="Times New Roman" w:eastAsia="Times New Roman"/>
          <w:spacing w:val="-13"/>
        </w:rPr>
        <w:t xml:space="preserve"> </w:t>
      </w:r>
      <w:r>
        <w:t>辆，其中：副部（省）级</w:t>
      </w:r>
    </w:p>
    <w:p>
      <w:pPr>
        <w:pStyle w:val="5"/>
        <w:spacing w:before="149"/>
        <w:ind w:right="1419"/>
        <w:jc w:val="right"/>
      </w:pPr>
      <w:r>
        <w:rPr>
          <w:spacing w:val="-10"/>
        </w:rPr>
        <w:t xml:space="preserve">及以上领导用车 </w:t>
      </w:r>
      <w:r>
        <w:rPr>
          <w:rFonts w:ascii="Times New Roman" w:eastAsia="Times New Roman"/>
          <w:u w:val="single"/>
        </w:rPr>
        <w:t>0</w:t>
      </w:r>
      <w:r>
        <w:rPr>
          <w:rFonts w:ascii="Times New Roman" w:eastAsia="Times New Roman"/>
          <w:spacing w:val="-15"/>
        </w:rPr>
        <w:t xml:space="preserve"> </w:t>
      </w:r>
      <w:r>
        <w:rPr>
          <w:spacing w:val="-7"/>
        </w:rPr>
        <w:t xml:space="preserve">辆、主要领导干部用车 </w:t>
      </w:r>
      <w:r>
        <w:rPr>
          <w:rFonts w:ascii="Times New Roman" w:eastAsia="Times New Roman"/>
          <w:u w:val="single"/>
        </w:rPr>
        <w:t>0</w:t>
      </w:r>
      <w:r>
        <w:rPr>
          <w:rFonts w:ascii="Times New Roman" w:eastAsia="Times New Roman"/>
          <w:spacing w:val="-15"/>
        </w:rPr>
        <w:t xml:space="preserve"> </w:t>
      </w:r>
      <w:r>
        <w:t>辆、机要通信用</w:t>
      </w:r>
    </w:p>
    <w:p>
      <w:pPr>
        <w:pStyle w:val="5"/>
        <w:spacing w:before="149"/>
        <w:ind w:right="1419"/>
        <w:jc w:val="right"/>
      </w:pPr>
      <w:r>
        <w:rPr>
          <w:spacing w:val="-39"/>
        </w:rPr>
        <w:t xml:space="preserve">车 </w:t>
      </w:r>
      <w:r>
        <w:rPr>
          <w:rFonts w:ascii="Times New Roman" w:eastAsia="Times New Roman"/>
          <w:u w:val="single"/>
        </w:rPr>
        <w:t>0</w:t>
      </w:r>
      <w:r>
        <w:rPr>
          <w:rFonts w:ascii="Times New Roman" w:eastAsia="Times New Roman"/>
          <w:spacing w:val="-12"/>
        </w:rPr>
        <w:t xml:space="preserve"> </w:t>
      </w:r>
      <w:r>
        <w:rPr>
          <w:spacing w:val="-9"/>
        </w:rPr>
        <w:t xml:space="preserve">辆、应急保障用车 </w:t>
      </w:r>
      <w:r>
        <w:rPr>
          <w:rFonts w:ascii="Times New Roman" w:eastAsia="Times New Roman"/>
          <w:u w:val="single"/>
        </w:rPr>
        <w:t>0</w:t>
      </w:r>
      <w:r>
        <w:rPr>
          <w:rFonts w:ascii="Times New Roman" w:eastAsia="Times New Roman"/>
          <w:spacing w:val="-12"/>
        </w:rPr>
        <w:t xml:space="preserve"> </w:t>
      </w:r>
      <w:r>
        <w:rPr>
          <w:spacing w:val="-9"/>
        </w:rPr>
        <w:t xml:space="preserve">辆、执法执勤用车 </w:t>
      </w:r>
      <w:r>
        <w:rPr>
          <w:rFonts w:ascii="Times New Roman" w:eastAsia="Times New Roman"/>
          <w:u w:val="single"/>
        </w:rPr>
        <w:t>0</w:t>
      </w:r>
      <w:r>
        <w:rPr>
          <w:rFonts w:ascii="Times New Roman" w:eastAsia="Times New Roman"/>
          <w:spacing w:val="-12"/>
        </w:rPr>
        <w:t xml:space="preserve"> </w:t>
      </w:r>
      <w:r>
        <w:t>辆、特种专业</w:t>
      </w:r>
    </w:p>
    <w:p>
      <w:pPr>
        <w:pStyle w:val="5"/>
        <w:spacing w:before="152"/>
        <w:ind w:right="1419"/>
        <w:jc w:val="right"/>
      </w:pPr>
      <w:r>
        <w:rPr>
          <w:spacing w:val="-16"/>
        </w:rPr>
        <w:t xml:space="preserve">技术用车 </w:t>
      </w:r>
      <w:r>
        <w:rPr>
          <w:rFonts w:ascii="Times New Roman" w:eastAsia="Times New Roman"/>
          <w:u w:val="single"/>
        </w:rPr>
        <w:t>0</w:t>
      </w:r>
      <w:r>
        <w:rPr>
          <w:rFonts w:ascii="Times New Roman" w:eastAsia="Times New Roman"/>
          <w:spacing w:val="-12"/>
        </w:rPr>
        <w:t xml:space="preserve"> </w:t>
      </w:r>
      <w:r>
        <w:rPr>
          <w:spacing w:val="-8"/>
        </w:rPr>
        <w:t xml:space="preserve">辆、离退休干部用车 </w:t>
      </w:r>
      <w:r>
        <w:rPr>
          <w:rFonts w:ascii="Times New Roman" w:eastAsia="Times New Roman"/>
          <w:u w:val="single"/>
        </w:rPr>
        <w:t>0</w:t>
      </w:r>
      <w:r>
        <w:rPr>
          <w:rFonts w:ascii="Times New Roman" w:eastAsia="Times New Roman"/>
          <w:spacing w:val="-12"/>
        </w:rPr>
        <w:t xml:space="preserve"> </w:t>
      </w:r>
      <w:r>
        <w:rPr>
          <w:spacing w:val="-11"/>
        </w:rPr>
        <w:t xml:space="preserve">辆，其他用车 </w:t>
      </w:r>
      <w:r>
        <w:rPr>
          <w:rFonts w:ascii="Times New Roman" w:eastAsia="Times New Roman"/>
          <w:u w:val="single"/>
        </w:rPr>
        <w:t>0</w:t>
      </w:r>
      <w:r>
        <w:rPr>
          <w:rFonts w:ascii="Times New Roman" w:eastAsia="Times New Roman"/>
          <w:spacing w:val="-12"/>
        </w:rPr>
        <w:t xml:space="preserve"> </w:t>
      </w:r>
      <w:r>
        <w:t>辆；单价</w:t>
      </w:r>
    </w:p>
    <w:p>
      <w:pPr>
        <w:pStyle w:val="5"/>
        <w:spacing w:before="149"/>
        <w:ind w:left="140"/>
        <w:jc w:val="both"/>
      </w:pPr>
      <w:r>
        <w:rPr>
          <w:rFonts w:ascii="Times New Roman" w:eastAsia="Times New Roman"/>
        </w:rPr>
        <w:t xml:space="preserve">100 </w:t>
      </w:r>
      <w:r>
        <w:t>万元（含）以上的设备（不含车辆）</w:t>
      </w:r>
      <w:r>
        <w:rPr>
          <w:rFonts w:ascii="Times New Roman" w:eastAsia="Times New Roman"/>
          <w:u w:val="single"/>
        </w:rPr>
        <w:t>0</w:t>
      </w:r>
      <w:r>
        <w:rPr>
          <w:rFonts w:ascii="Times New Roman" w:eastAsia="Times New Roman"/>
        </w:rPr>
        <w:t xml:space="preserve"> </w:t>
      </w:r>
      <w:r>
        <w:t>台（套）。</w:t>
      </w:r>
    </w:p>
    <w:p>
      <w:pPr>
        <w:pStyle w:val="5"/>
        <w:spacing w:before="7"/>
        <w:rPr>
          <w:sz w:val="33"/>
        </w:rPr>
      </w:pPr>
    </w:p>
    <w:p>
      <w:pPr>
        <w:pStyle w:val="3"/>
      </w:pPr>
      <w:r>
        <w:t>十五、预算绩效情况说明</w:t>
      </w:r>
    </w:p>
    <w:p>
      <w:pPr>
        <w:pStyle w:val="5"/>
        <w:spacing w:before="7"/>
        <w:rPr>
          <w:rFonts w:ascii="黑体"/>
          <w:b/>
          <w:sz w:val="33"/>
        </w:rPr>
      </w:pPr>
    </w:p>
    <w:p>
      <w:pPr>
        <w:spacing w:before="0"/>
        <w:ind w:left="783" w:right="0" w:firstLine="0"/>
        <w:jc w:val="left"/>
        <w:rPr>
          <w:rFonts w:hint="eastAsia" w:ascii="楷体" w:eastAsia="楷体"/>
          <w:b/>
          <w:sz w:val="32"/>
        </w:rPr>
      </w:pPr>
      <w:r>
        <w:rPr>
          <w:rFonts w:hint="eastAsia" w:ascii="楷体" w:eastAsia="楷体"/>
          <w:b/>
          <w:sz w:val="32"/>
        </w:rPr>
        <w:t>（一）预算绩效管理工作开展情况。</w:t>
      </w:r>
    </w:p>
    <w:p>
      <w:pPr>
        <w:pStyle w:val="5"/>
        <w:spacing w:before="7"/>
        <w:rPr>
          <w:rFonts w:ascii="楷体"/>
          <w:b/>
          <w:sz w:val="33"/>
        </w:rPr>
      </w:pPr>
    </w:p>
    <w:p>
      <w:pPr>
        <w:pStyle w:val="5"/>
        <w:spacing w:before="1" w:line="326" w:lineRule="auto"/>
        <w:ind w:left="140" w:right="1419" w:firstLine="640"/>
        <w:jc w:val="both"/>
      </w:pPr>
      <w:r>
        <w:rPr>
          <w:spacing w:val="13"/>
          <w:w w:val="95"/>
        </w:rPr>
        <w:t xml:space="preserve">锡林郭勒盟农村牧区社会事业发展中心单位根据预算 </w:t>
      </w:r>
      <w:r>
        <w:rPr>
          <w:spacing w:val="-4"/>
        </w:rPr>
        <w:t xml:space="preserve">绩效管理要求组织对 </w:t>
      </w:r>
      <w:r>
        <w:rPr>
          <w:rFonts w:hint="eastAsia" w:ascii="宋体" w:eastAsia="宋体"/>
        </w:rPr>
        <w:t>2022</w:t>
      </w:r>
      <w:r>
        <w:rPr>
          <w:rFonts w:hint="eastAsia" w:ascii="宋体" w:eastAsia="宋体"/>
          <w:spacing w:val="-84"/>
        </w:rPr>
        <w:t xml:space="preserve"> </w:t>
      </w:r>
      <w:r>
        <w:rPr>
          <w:spacing w:val="6"/>
        </w:rPr>
        <w:t>年一般公共预算项目支出全面开</w:t>
      </w:r>
    </w:p>
    <w:p>
      <w:pPr>
        <w:pStyle w:val="5"/>
        <w:spacing w:before="5" w:line="328" w:lineRule="auto"/>
        <w:ind w:left="140" w:right="1419"/>
        <w:jc w:val="both"/>
      </w:pPr>
      <w:r>
        <w:rPr>
          <w:spacing w:val="-6"/>
        </w:rPr>
        <w:t xml:space="preserve">展绩效自评，其中一级项目 </w:t>
      </w:r>
      <w:r>
        <w:rPr>
          <w:rFonts w:ascii="Times New Roman" w:eastAsia="Times New Roman"/>
          <w:u w:val="single"/>
        </w:rPr>
        <w:t>0</w:t>
      </w:r>
      <w:r>
        <w:rPr>
          <w:rFonts w:ascii="Times New Roman" w:eastAsia="Times New Roman"/>
          <w:spacing w:val="-15"/>
        </w:rPr>
        <w:t xml:space="preserve"> </w:t>
      </w:r>
      <w:r>
        <w:rPr>
          <w:spacing w:val="-11"/>
        </w:rPr>
        <w:t xml:space="preserve">个，二级项目 </w:t>
      </w:r>
      <w:r>
        <w:rPr>
          <w:rFonts w:ascii="Times New Roman" w:eastAsia="Times New Roman"/>
          <w:u w:val="single"/>
        </w:rPr>
        <w:t>2</w:t>
      </w:r>
      <w:r>
        <w:rPr>
          <w:rFonts w:ascii="Times New Roman" w:eastAsia="Times New Roman"/>
          <w:spacing w:val="-16"/>
        </w:rPr>
        <w:t xml:space="preserve"> </w:t>
      </w:r>
      <w:r>
        <w:t>个，共涉及资</w:t>
      </w:r>
      <w:r>
        <w:rPr>
          <w:spacing w:val="-41"/>
        </w:rPr>
        <w:t xml:space="preserve">金 </w:t>
      </w:r>
      <w:r>
        <w:rPr>
          <w:rFonts w:ascii="Times New Roman" w:eastAsia="Times New Roman"/>
          <w:u w:val="single"/>
        </w:rPr>
        <w:t>17.00</w:t>
      </w:r>
      <w:r>
        <w:rPr>
          <w:rFonts w:ascii="Times New Roman" w:eastAsia="Times New Roman"/>
          <w:spacing w:val="-16"/>
        </w:rPr>
        <w:t xml:space="preserve"> </w:t>
      </w:r>
      <w:r>
        <w:rPr>
          <w:spacing w:val="-5"/>
        </w:rPr>
        <w:t xml:space="preserve">万元，占一般公共预算项目支出总额的 </w:t>
      </w:r>
      <w:r>
        <w:rPr>
          <w:rFonts w:ascii="Times New Roman" w:eastAsia="Times New Roman"/>
        </w:rPr>
        <w:t>100</w:t>
      </w:r>
      <w:r>
        <w:rPr>
          <w:rFonts w:hint="eastAsia" w:ascii="宋体" w:eastAsia="宋体"/>
        </w:rPr>
        <w:t>%</w:t>
      </w:r>
      <w:r>
        <w:t>；政府</w:t>
      </w:r>
      <w:r>
        <w:rPr>
          <w:spacing w:val="40"/>
        </w:rPr>
        <w:t>性基金预算项目</w:t>
      </w:r>
      <w:r>
        <w:rPr>
          <w:spacing w:val="-43"/>
          <w:u w:val="single"/>
        </w:rPr>
        <w:t xml:space="preserve"> </w:t>
      </w:r>
      <w:r>
        <w:rPr>
          <w:rFonts w:ascii="Times New Roman" w:eastAsia="Times New Roman"/>
          <w:u w:val="single"/>
        </w:rPr>
        <w:t>0</w:t>
      </w:r>
      <w:r>
        <w:rPr>
          <w:rFonts w:ascii="Times New Roman" w:eastAsia="Times New Roman"/>
          <w:spacing w:val="20"/>
        </w:rPr>
        <w:t xml:space="preserve"> </w:t>
      </w:r>
      <w:r>
        <w:rPr>
          <w:spacing w:val="1"/>
        </w:rPr>
        <w:t>个， 其中， 一级项目</w:t>
      </w:r>
      <w:r>
        <w:rPr>
          <w:spacing w:val="-43"/>
          <w:u w:val="single"/>
        </w:rPr>
        <w:t xml:space="preserve"> </w:t>
      </w:r>
      <w:r>
        <w:rPr>
          <w:rFonts w:ascii="Times New Roman" w:eastAsia="Times New Roman"/>
          <w:u w:val="single"/>
        </w:rPr>
        <w:t>0</w:t>
      </w:r>
      <w:r>
        <w:rPr>
          <w:rFonts w:ascii="Times New Roman" w:eastAsia="Times New Roman"/>
          <w:spacing w:val="20"/>
        </w:rPr>
        <w:t xml:space="preserve"> </w:t>
      </w:r>
      <w:r>
        <w:t>个， 二级项</w:t>
      </w:r>
      <w:r>
        <w:rPr>
          <w:spacing w:val="-36"/>
        </w:rPr>
        <w:t xml:space="preserve">目 </w:t>
      </w:r>
      <w:r>
        <w:rPr>
          <w:rFonts w:ascii="Times New Roman" w:eastAsia="Times New Roman"/>
          <w:u w:val="single"/>
        </w:rPr>
        <w:t>0</w:t>
      </w:r>
      <w:r>
        <w:rPr>
          <w:rFonts w:ascii="Times New Roman" w:eastAsia="Times New Roman"/>
          <w:spacing w:val="5"/>
        </w:rPr>
        <w:t xml:space="preserve"> </w:t>
      </w:r>
      <w:r>
        <w:rPr>
          <w:spacing w:val="-5"/>
        </w:rPr>
        <w:t xml:space="preserve">个，共涉及资金 </w:t>
      </w:r>
      <w:r>
        <w:rPr>
          <w:rFonts w:ascii="Times New Roman" w:eastAsia="Times New Roman"/>
          <w:u w:val="single"/>
        </w:rPr>
        <w:t>0.00</w:t>
      </w:r>
      <w:r>
        <w:rPr>
          <w:rFonts w:ascii="Times New Roman" w:eastAsia="Times New Roman"/>
          <w:spacing w:val="-14"/>
        </w:rPr>
        <w:t xml:space="preserve"> </w:t>
      </w:r>
      <w:r>
        <w:rPr>
          <w:spacing w:val="6"/>
        </w:rPr>
        <w:t>万元，占应纳入绩效自评的政府</w:t>
      </w:r>
      <w:r>
        <w:rPr>
          <w:spacing w:val="-1"/>
        </w:rPr>
        <w:t xml:space="preserve">性基金预算项目支出总额的 </w:t>
      </w:r>
      <w:r>
        <w:rPr>
          <w:rFonts w:ascii="Times New Roman" w:eastAsia="Times New Roman"/>
        </w:rPr>
        <w:t>100</w:t>
      </w:r>
      <w:r>
        <w:rPr>
          <w:rFonts w:hint="eastAsia" w:ascii="宋体" w:eastAsia="宋体"/>
        </w:rPr>
        <w:t>%</w:t>
      </w:r>
      <w:r>
        <w:t>。</w:t>
      </w:r>
    </w:p>
    <w:p>
      <w:pPr>
        <w:pStyle w:val="5"/>
        <w:spacing w:before="271" w:line="326" w:lineRule="auto"/>
        <w:ind w:left="140" w:right="1419" w:firstLine="640"/>
        <w:jc w:val="both"/>
        <w:rPr>
          <w:rFonts w:hint="eastAsia"/>
          <w:w w:val="95"/>
          <w:lang w:val="en-US" w:eastAsia="zh-CN"/>
        </w:rPr>
      </w:pPr>
      <w:r>
        <w:t>组织对</w:t>
      </w:r>
      <w:r>
        <w:rPr>
          <w:sz w:val="32"/>
        </w:rPr>
        <w:t>“乡村振兴人居环境整治及厕所革命工作经费”</w:t>
      </w:r>
      <w:r>
        <w:t>、</w:t>
      </w:r>
      <w:r>
        <w:rPr>
          <w:rFonts w:ascii="Times New Roman" w:hAnsi="Times New Roman" w:eastAsia="Times New Roman"/>
        </w:rPr>
        <w:t>“</w:t>
      </w:r>
      <w:r>
        <w:rPr>
          <w:w w:val="95"/>
          <w:sz w:val="32"/>
        </w:rPr>
        <w:t>包联（小区）疫情防控经费项目</w:t>
      </w:r>
      <w:r>
        <w:rPr>
          <w:rFonts w:ascii="Times New Roman" w:hAnsi="Times New Roman" w:eastAsia="Times New Roman"/>
        </w:rPr>
        <w:t>”</w:t>
      </w:r>
      <w:r>
        <w:t xml:space="preserve">等 </w:t>
      </w:r>
      <w:r>
        <w:rPr>
          <w:rFonts w:hint="eastAsia"/>
          <w:u w:val="single"/>
          <w:lang w:val="en-US" w:eastAsia="zh-CN"/>
        </w:rPr>
        <w:t>2</w:t>
      </w:r>
      <w:r>
        <w:rPr>
          <w:rFonts w:hint="eastAsia" w:ascii="宋体" w:hAnsi="宋体" w:eastAsia="宋体"/>
          <w:u w:val="single"/>
        </w:rPr>
        <w:t xml:space="preserve"> </w:t>
      </w:r>
      <w:r>
        <w:t>个项目开</w:t>
      </w:r>
      <w:r>
        <w:rPr>
          <w:w w:val="95"/>
        </w:rPr>
        <w:t>展了单位评价，涉及一般公共</w:t>
      </w:r>
      <w:r>
        <w:rPr>
          <w:rFonts w:hint="eastAsia"/>
          <w:w w:val="95"/>
          <w:lang w:eastAsia="zh-CN"/>
        </w:rPr>
        <w:t>预算支出</w:t>
      </w:r>
      <w:r>
        <w:rPr>
          <w:rFonts w:hint="eastAsia"/>
          <w:w w:val="95"/>
          <w:lang w:val="en-US" w:eastAsia="zh-CN"/>
        </w:rPr>
        <w:t xml:space="preserve"> </w:t>
      </w:r>
      <w:r>
        <w:rPr>
          <w:rFonts w:hint="eastAsia"/>
          <w:w w:val="95"/>
          <w:u w:val="single"/>
          <w:lang w:val="en-US" w:eastAsia="zh-CN"/>
        </w:rPr>
        <w:t xml:space="preserve">17.00 </w:t>
      </w:r>
      <w:r>
        <w:rPr>
          <w:rFonts w:hint="eastAsia"/>
          <w:w w:val="95"/>
          <w:lang w:val="en-US" w:eastAsia="zh-CN"/>
        </w:rPr>
        <w:t>万元，政府性基金支出</w:t>
      </w:r>
      <w:r>
        <w:rPr>
          <w:rFonts w:hint="eastAsia"/>
          <w:w w:val="95"/>
          <w:u w:val="single"/>
          <w:lang w:val="en-US" w:eastAsia="zh-CN"/>
        </w:rPr>
        <w:t xml:space="preserve"> 0 </w:t>
      </w:r>
      <w:r>
        <w:rPr>
          <w:rFonts w:hint="eastAsia"/>
          <w:w w:val="95"/>
          <w:lang w:val="en-US" w:eastAsia="zh-CN"/>
        </w:rPr>
        <w:t>万元，从评价情况来看，以上项目指标设定合理、可行。</w:t>
      </w:r>
    </w:p>
    <w:p>
      <w:pPr>
        <w:spacing w:before="329" w:line="368" w:lineRule="auto"/>
        <w:ind w:right="14"/>
        <w:jc w:val="both"/>
        <w:rPr>
          <w:rFonts w:hint="eastAsia" w:ascii="仿宋" w:hAnsi="仿宋" w:eastAsia="仿宋" w:cs="仿宋"/>
          <w:w w:val="95"/>
          <w:lang w:val="en-US" w:eastAsia="zh-CN"/>
        </w:rPr>
        <w:sectPr>
          <w:pgSz w:w="11920" w:h="16860"/>
          <w:pgMar w:top="1520" w:right="380" w:bottom="280" w:left="1660" w:header="720" w:footer="720" w:gutter="0"/>
          <w:pgBorders>
            <w:top w:val="none" w:sz="0" w:space="0"/>
            <w:left w:val="none" w:sz="0" w:space="0"/>
            <w:bottom w:val="none" w:sz="0" w:space="0"/>
            <w:right w:val="none" w:sz="0" w:space="0"/>
          </w:pgBorders>
          <w:cols w:space="720" w:num="1"/>
        </w:sectPr>
      </w:pPr>
      <w:r>
        <w:rPr>
          <w:rFonts w:hint="eastAsia" w:ascii="仿宋" w:hAnsi="仿宋" w:eastAsia="仿宋" w:cs="仿宋"/>
          <w:spacing w:val="18"/>
          <w:sz w:val="31"/>
          <w:szCs w:val="31"/>
        </w:rPr>
        <w:t>从评价情况来</w:t>
      </w:r>
      <w:r>
        <w:rPr>
          <w:rFonts w:hint="eastAsia" w:ascii="仿宋" w:hAnsi="仿宋" w:eastAsia="仿宋" w:cs="仿宋"/>
          <w:sz w:val="31"/>
          <w:szCs w:val="31"/>
        </w:rPr>
        <w:t xml:space="preserve"> </w:t>
      </w:r>
      <w:r>
        <w:rPr>
          <w:rFonts w:hint="eastAsia" w:ascii="仿宋" w:hAnsi="仿宋" w:eastAsia="仿宋" w:cs="仿宋"/>
          <w:spacing w:val="8"/>
          <w:sz w:val="31"/>
          <w:szCs w:val="31"/>
        </w:rPr>
        <w:t>看，以上项目指标设定合理、可行。</w:t>
      </w:r>
    </w:p>
    <w:p>
      <w:pPr>
        <w:pStyle w:val="5"/>
        <w:spacing w:before="7"/>
        <w:rPr>
          <w:sz w:val="33"/>
        </w:rPr>
      </w:pPr>
    </w:p>
    <w:p>
      <w:pPr>
        <w:pStyle w:val="3"/>
        <w:rPr>
          <w:rFonts w:hint="eastAsia" w:ascii="楷体" w:eastAsia="楷体"/>
        </w:rPr>
      </w:pPr>
      <w:r>
        <w:rPr>
          <w:rFonts w:hint="eastAsia" w:ascii="楷体" w:eastAsia="楷体"/>
        </w:rPr>
        <w:t>（二）单位决算中项目绩效自评结果。</w:t>
      </w:r>
    </w:p>
    <w:p>
      <w:pPr>
        <w:pStyle w:val="5"/>
        <w:spacing w:before="7"/>
        <w:rPr>
          <w:rFonts w:ascii="楷体"/>
          <w:b/>
          <w:sz w:val="33"/>
        </w:rPr>
      </w:pPr>
    </w:p>
    <w:p>
      <w:pPr>
        <w:pStyle w:val="5"/>
        <w:spacing w:line="328" w:lineRule="auto"/>
        <w:ind w:left="140" w:right="1419" w:firstLine="640"/>
        <w:jc w:val="both"/>
      </w:pPr>
      <w:r>
        <w:rPr>
          <w:spacing w:val="1"/>
        </w:rPr>
        <w:t xml:space="preserve">锡林郭勒盟农村牧区社会事业发展中心单位 </w:t>
      </w:r>
      <w:r>
        <w:rPr>
          <w:rFonts w:hint="eastAsia" w:ascii="宋体" w:eastAsia="宋体"/>
        </w:rPr>
        <w:t>2022</w:t>
      </w:r>
      <w:r>
        <w:rPr>
          <w:rFonts w:hint="eastAsia" w:ascii="宋体" w:eastAsia="宋体"/>
          <w:spacing w:val="-83"/>
        </w:rPr>
        <w:t xml:space="preserve"> </w:t>
      </w:r>
      <w:r>
        <w:rPr>
          <w:spacing w:val="3"/>
        </w:rPr>
        <w:t>年度</w:t>
      </w:r>
      <w:r>
        <w:rPr>
          <w:spacing w:val="11"/>
        </w:rPr>
        <w:t>在决算中反映</w:t>
      </w:r>
      <w:r>
        <w:rPr>
          <w:spacing w:val="11"/>
          <w:u w:val="single"/>
        </w:rPr>
        <w:t xml:space="preserve"> </w:t>
      </w:r>
      <w:r>
        <w:rPr>
          <w:rFonts w:ascii="Times New Roman" w:eastAsia="Times New Roman"/>
          <w:u w:val="single"/>
        </w:rPr>
        <w:t xml:space="preserve">2 </w:t>
      </w:r>
      <w:r>
        <w:rPr>
          <w:spacing w:val="10"/>
        </w:rPr>
        <w:t>个一般公共预算项目，以及</w:t>
      </w:r>
      <w:r>
        <w:rPr>
          <w:spacing w:val="10"/>
          <w:u w:val="single"/>
        </w:rPr>
        <w:t xml:space="preserve"> </w:t>
      </w:r>
      <w:r>
        <w:rPr>
          <w:rFonts w:ascii="Times New Roman" w:eastAsia="Times New Roman"/>
          <w:u w:val="single"/>
        </w:rPr>
        <w:t xml:space="preserve">0 </w:t>
      </w:r>
      <w:r>
        <w:rPr>
          <w:spacing w:val="9"/>
        </w:rPr>
        <w:t>个政府性</w:t>
      </w:r>
      <w:r>
        <w:rPr>
          <w:spacing w:val="-4"/>
        </w:rPr>
        <w:t xml:space="preserve">基金项目，共 </w:t>
      </w:r>
      <w:r>
        <w:rPr>
          <w:rFonts w:ascii="Times New Roman" w:eastAsia="Times New Roman"/>
          <w:u w:val="single"/>
        </w:rPr>
        <w:t xml:space="preserve">2 </w:t>
      </w:r>
      <w:r>
        <w:t>个项目的绩效自评结果。</w:t>
      </w:r>
    </w:p>
    <w:p>
      <w:pPr>
        <w:pStyle w:val="11"/>
        <w:numPr>
          <w:ilvl w:val="0"/>
          <w:numId w:val="10"/>
        </w:numPr>
        <w:tabs>
          <w:tab w:val="left" w:pos="1023"/>
        </w:tabs>
        <w:spacing w:before="254" w:after="0" w:line="364" w:lineRule="auto"/>
        <w:ind w:left="140" w:right="1254" w:firstLine="640"/>
        <w:jc w:val="both"/>
        <w:rPr>
          <w:sz w:val="32"/>
        </w:rPr>
      </w:pPr>
      <w:r>
        <w:rPr>
          <w:sz w:val="32"/>
        </w:rPr>
        <w:t>“乡村振兴人居环境整治及厕所革命工作经费”项目</w:t>
      </w:r>
      <w:r>
        <w:rPr>
          <w:spacing w:val="-4"/>
          <w:sz w:val="32"/>
        </w:rPr>
        <w:t xml:space="preserve">自评综述：根据年初设定的绩效目标，项目自评得分 </w:t>
      </w:r>
      <w:r>
        <w:rPr>
          <w:rFonts w:ascii="Times New Roman" w:hAnsi="Times New Roman" w:eastAsia="Times New Roman"/>
          <w:sz w:val="32"/>
          <w:u w:val="single"/>
        </w:rPr>
        <w:t>95</w:t>
      </w:r>
      <w:r>
        <w:rPr>
          <w:rFonts w:ascii="Times New Roman" w:hAnsi="Times New Roman" w:eastAsia="Times New Roman"/>
          <w:spacing w:val="-4"/>
          <w:sz w:val="32"/>
        </w:rPr>
        <w:t xml:space="preserve"> </w:t>
      </w:r>
      <w:r>
        <w:rPr>
          <w:spacing w:val="-6"/>
          <w:sz w:val="32"/>
        </w:rPr>
        <w:t>分。</w:t>
      </w:r>
    </w:p>
    <w:p>
      <w:pPr>
        <w:spacing w:before="2" w:line="369" w:lineRule="auto"/>
        <w:ind w:left="140" w:right="1489" w:firstLine="0"/>
        <w:jc w:val="left"/>
        <w:rPr>
          <w:sz w:val="30"/>
        </w:rPr>
      </w:pPr>
      <w:r>
        <w:rPr>
          <w:spacing w:val="-12"/>
          <w:sz w:val="32"/>
        </w:rPr>
        <w:t xml:space="preserve">全年预算数为 </w:t>
      </w:r>
      <w:r>
        <w:rPr>
          <w:rFonts w:hint="eastAsia" w:ascii="宋体" w:eastAsia="宋体"/>
          <w:sz w:val="32"/>
        </w:rPr>
        <w:t>15.85</w:t>
      </w:r>
      <w:r>
        <w:rPr>
          <w:rFonts w:hint="eastAsia" w:ascii="宋体" w:eastAsia="宋体"/>
          <w:spacing w:val="-83"/>
          <w:sz w:val="32"/>
        </w:rPr>
        <w:t xml:space="preserve"> </w:t>
      </w:r>
      <w:r>
        <w:rPr>
          <w:spacing w:val="-11"/>
          <w:sz w:val="32"/>
        </w:rPr>
        <w:t xml:space="preserve">万元，执行数为 </w:t>
      </w:r>
      <w:r>
        <w:rPr>
          <w:rFonts w:ascii="Times New Roman" w:eastAsia="Times New Roman"/>
          <w:sz w:val="32"/>
          <w:u w:val="single"/>
        </w:rPr>
        <w:t>15.85</w:t>
      </w:r>
      <w:r>
        <w:rPr>
          <w:rFonts w:ascii="Times New Roman" w:eastAsia="Times New Roman"/>
          <w:sz w:val="32"/>
        </w:rPr>
        <w:t xml:space="preserve"> </w:t>
      </w:r>
      <w:r>
        <w:rPr>
          <w:sz w:val="32"/>
        </w:rPr>
        <w:t>万元，完成预算的</w:t>
      </w:r>
      <w:r>
        <w:rPr>
          <w:sz w:val="32"/>
          <w:u w:val="single"/>
        </w:rPr>
        <w:t xml:space="preserve"> </w:t>
      </w:r>
      <w:r>
        <w:rPr>
          <w:rFonts w:ascii="Times New Roman" w:eastAsia="Times New Roman"/>
          <w:sz w:val="32"/>
          <w:u w:val="single"/>
        </w:rPr>
        <w:t>100</w:t>
      </w:r>
      <w:r>
        <w:rPr>
          <w:rFonts w:ascii="Times New Roman" w:eastAsia="Times New Roman"/>
          <w:sz w:val="32"/>
        </w:rPr>
        <w:t xml:space="preserve"> </w:t>
      </w:r>
      <w:r>
        <w:rPr>
          <w:rFonts w:hint="eastAsia" w:ascii="宋体" w:eastAsia="宋体"/>
          <w:sz w:val="32"/>
        </w:rPr>
        <w:t>%</w:t>
      </w:r>
      <w:r>
        <w:rPr>
          <w:sz w:val="32"/>
        </w:rPr>
        <w:t>。项目绩效目标完成情况：</w:t>
      </w:r>
      <w:r>
        <w:rPr>
          <w:spacing w:val="-19"/>
          <w:sz w:val="30"/>
        </w:rPr>
        <w:t xml:space="preserve">完成 </w:t>
      </w:r>
      <w:r>
        <w:rPr>
          <w:sz w:val="30"/>
        </w:rPr>
        <w:t>13</w:t>
      </w:r>
      <w:r>
        <w:rPr>
          <w:spacing w:val="-5"/>
          <w:sz w:val="30"/>
        </w:rPr>
        <w:t xml:space="preserve"> 个旗县市区， </w:t>
      </w:r>
      <w:r>
        <w:rPr>
          <w:spacing w:val="3"/>
          <w:sz w:val="30"/>
        </w:rPr>
        <w:t>150</w:t>
      </w:r>
      <w:r>
        <w:rPr>
          <w:spacing w:val="-2"/>
          <w:sz w:val="30"/>
        </w:rPr>
        <w:t xml:space="preserve"> 个嘎查村分场人居环境整治厕所革命工作，联合盟农牧局</w:t>
      </w:r>
    </w:p>
    <w:p>
      <w:pPr>
        <w:spacing w:before="30"/>
        <w:ind w:left="140" w:right="0" w:firstLine="0"/>
        <w:jc w:val="left"/>
        <w:rPr>
          <w:sz w:val="30"/>
        </w:rPr>
      </w:pPr>
      <w:r>
        <w:rPr>
          <w:spacing w:val="2"/>
          <w:sz w:val="30"/>
        </w:rPr>
        <w:t xml:space="preserve">举办全盟农村牧区户厕问题摸排整改档案培训会 </w:t>
      </w:r>
      <w:r>
        <w:rPr>
          <w:sz w:val="30"/>
        </w:rPr>
        <w:t>1</w:t>
      </w:r>
      <w:r>
        <w:rPr>
          <w:spacing w:val="-9"/>
          <w:sz w:val="30"/>
        </w:rPr>
        <w:t xml:space="preserve"> 次，开展</w:t>
      </w:r>
    </w:p>
    <w:p>
      <w:pPr>
        <w:spacing w:before="239"/>
        <w:ind w:left="140" w:right="0" w:firstLine="0"/>
        <w:jc w:val="left"/>
        <w:rPr>
          <w:sz w:val="30"/>
        </w:rPr>
      </w:pPr>
      <w:r>
        <w:rPr>
          <w:spacing w:val="2"/>
          <w:sz w:val="30"/>
        </w:rPr>
        <w:t xml:space="preserve">全盟户厕问题摸排整改督查、指导工作 </w:t>
      </w:r>
      <w:r>
        <w:rPr>
          <w:sz w:val="30"/>
        </w:rPr>
        <w:t>2</w:t>
      </w:r>
      <w:r>
        <w:rPr>
          <w:spacing w:val="-4"/>
          <w:sz w:val="30"/>
        </w:rPr>
        <w:t xml:space="preserve"> 次，开展全盟农村</w:t>
      </w:r>
    </w:p>
    <w:p>
      <w:pPr>
        <w:spacing w:before="240"/>
        <w:ind w:left="140" w:right="0" w:firstLine="0"/>
        <w:jc w:val="both"/>
        <w:rPr>
          <w:sz w:val="30"/>
        </w:rPr>
      </w:pPr>
      <w:r>
        <w:rPr>
          <w:spacing w:val="2"/>
          <w:sz w:val="30"/>
        </w:rPr>
        <w:t xml:space="preserve">牧区户厕问题摸排整改“回头看”工作 </w:t>
      </w:r>
      <w:r>
        <w:rPr>
          <w:sz w:val="30"/>
        </w:rPr>
        <w:t>3</w:t>
      </w:r>
      <w:r>
        <w:rPr>
          <w:spacing w:val="-3"/>
          <w:sz w:val="30"/>
        </w:rPr>
        <w:t xml:space="preserve"> 次，开展“菌包”</w:t>
      </w:r>
    </w:p>
    <w:p>
      <w:pPr>
        <w:spacing w:before="227" w:line="364" w:lineRule="auto"/>
        <w:ind w:left="140" w:right="1695" w:firstLine="0"/>
        <w:jc w:val="both"/>
        <w:rPr>
          <w:sz w:val="32"/>
        </w:rPr>
      </w:pPr>
      <w:r>
        <w:rPr>
          <w:sz w:val="30"/>
        </w:rPr>
        <w:t>试验示范推广工作调研 1 次。已完成全年绩效总体目标</w:t>
      </w:r>
      <w:r>
        <w:rPr>
          <w:sz w:val="32"/>
        </w:rPr>
        <w:t>。发现的主要问题及原因：项目进展缓慢，群众宣传不到位。下一步改进措施：加快项目实施进度，加强宣传与舆论引导，提升农牧民正确使用意识。</w:t>
      </w:r>
    </w:p>
    <w:p>
      <w:pPr>
        <w:spacing w:after="0" w:line="364" w:lineRule="auto"/>
        <w:jc w:val="both"/>
        <w:rPr>
          <w:sz w:val="32"/>
        </w:rPr>
        <w:sectPr>
          <w:pgSz w:w="11920" w:h="16860"/>
          <w:pgMar w:top="1520" w:right="380" w:bottom="280" w:left="1660" w:header="720" w:footer="720" w:gutter="0"/>
          <w:pgBorders>
            <w:top w:val="none" w:sz="0" w:space="0"/>
            <w:left w:val="none" w:sz="0" w:space="0"/>
            <w:bottom w:val="none" w:sz="0" w:space="0"/>
            <w:right w:val="none" w:sz="0" w:space="0"/>
          </w:pgBorders>
          <w:cols w:space="720" w:num="1"/>
        </w:sectPr>
      </w:pPr>
    </w:p>
    <w:p>
      <w:pPr>
        <w:pStyle w:val="11"/>
        <w:numPr>
          <w:ilvl w:val="0"/>
          <w:numId w:val="10"/>
        </w:numPr>
        <w:tabs>
          <w:tab w:val="left" w:pos="1023"/>
        </w:tabs>
        <w:spacing w:before="37" w:after="0" w:line="364" w:lineRule="auto"/>
        <w:ind w:left="140" w:right="1494" w:firstLine="640"/>
        <w:jc w:val="left"/>
        <w:rPr>
          <w:sz w:val="32"/>
        </w:rPr>
      </w:pPr>
      <w:r>
        <w:rPr>
          <w:w w:val="95"/>
          <w:sz w:val="32"/>
        </w:rPr>
        <w:t xml:space="preserve">包联（小区）疫情防控经费项目自评综述：根据年初 </w:t>
      </w:r>
      <w:r>
        <w:rPr>
          <w:spacing w:val="-6"/>
          <w:sz w:val="32"/>
        </w:rPr>
        <w:t xml:space="preserve">设定的绩效目标，项目自评得分 </w:t>
      </w:r>
      <w:r>
        <w:rPr>
          <w:rFonts w:ascii="Times New Roman" w:eastAsia="Times New Roman"/>
          <w:sz w:val="32"/>
          <w:u w:val="single"/>
        </w:rPr>
        <w:t>83.32</w:t>
      </w:r>
      <w:r>
        <w:rPr>
          <w:rFonts w:ascii="Times New Roman" w:eastAsia="Times New Roman"/>
          <w:spacing w:val="-18"/>
          <w:sz w:val="32"/>
        </w:rPr>
        <w:t xml:space="preserve"> </w:t>
      </w:r>
      <w:r>
        <w:rPr>
          <w:sz w:val="32"/>
        </w:rPr>
        <w:t>分。全年预算数为</w:t>
      </w:r>
    </w:p>
    <w:p>
      <w:pPr>
        <w:spacing w:before="1" w:line="367" w:lineRule="auto"/>
        <w:ind w:left="140" w:right="1573" w:firstLine="0"/>
        <w:jc w:val="left"/>
        <w:rPr>
          <w:sz w:val="32"/>
        </w:rPr>
      </w:pPr>
      <w:r>
        <w:rPr>
          <w:rFonts w:hint="eastAsia" w:ascii="宋体" w:eastAsia="宋体"/>
          <w:sz w:val="32"/>
        </w:rPr>
        <w:t>3.46</w:t>
      </w:r>
      <w:r>
        <w:rPr>
          <w:rFonts w:hint="eastAsia" w:ascii="宋体" w:eastAsia="宋体"/>
          <w:spacing w:val="-82"/>
          <w:sz w:val="32"/>
        </w:rPr>
        <w:t xml:space="preserve"> </w:t>
      </w:r>
      <w:r>
        <w:rPr>
          <w:sz w:val="32"/>
        </w:rPr>
        <w:t>万元，执行数为</w:t>
      </w:r>
      <w:r>
        <w:rPr>
          <w:sz w:val="32"/>
          <w:u w:val="single"/>
        </w:rPr>
        <w:t xml:space="preserve"> </w:t>
      </w:r>
      <w:r>
        <w:rPr>
          <w:rFonts w:ascii="Times New Roman" w:eastAsia="Times New Roman"/>
          <w:sz w:val="32"/>
          <w:u w:val="single"/>
        </w:rPr>
        <w:t>1.15</w:t>
      </w:r>
      <w:r>
        <w:rPr>
          <w:rFonts w:ascii="Times New Roman" w:eastAsia="Times New Roman"/>
          <w:sz w:val="32"/>
        </w:rPr>
        <w:t xml:space="preserve"> </w:t>
      </w:r>
      <w:r>
        <w:rPr>
          <w:sz w:val="32"/>
        </w:rPr>
        <w:t>万元，完成预算的</w:t>
      </w:r>
      <w:r>
        <w:rPr>
          <w:sz w:val="32"/>
          <w:u w:val="single"/>
        </w:rPr>
        <w:t xml:space="preserve"> </w:t>
      </w:r>
      <w:r>
        <w:rPr>
          <w:rFonts w:ascii="Times New Roman" w:eastAsia="Times New Roman"/>
          <w:sz w:val="32"/>
          <w:u w:val="single"/>
        </w:rPr>
        <w:t>33.34</w:t>
      </w:r>
      <w:r>
        <w:rPr>
          <w:rFonts w:ascii="Times New Roman" w:eastAsia="Times New Roman"/>
          <w:sz w:val="32"/>
        </w:rPr>
        <w:t xml:space="preserve"> </w:t>
      </w:r>
      <w:r>
        <w:rPr>
          <w:rFonts w:hint="eastAsia" w:ascii="宋体" w:eastAsia="宋体"/>
          <w:sz w:val="32"/>
        </w:rPr>
        <w:t>%</w:t>
      </w:r>
      <w:r>
        <w:rPr>
          <w:sz w:val="32"/>
        </w:rPr>
        <w:t>。项目绩效目标完成情况：</w:t>
      </w:r>
      <w:r>
        <w:rPr>
          <w:spacing w:val="6"/>
          <w:sz w:val="30"/>
        </w:rPr>
        <w:t>增强疫情防控能力，切实做好常态化精准防控工作，巩固防控成果，全面保障人民群众生命安全</w:t>
      </w:r>
      <w:r>
        <w:rPr>
          <w:spacing w:val="7"/>
          <w:sz w:val="30"/>
        </w:rPr>
        <w:t>和身体健康。</w:t>
      </w:r>
      <w:r>
        <w:rPr>
          <w:sz w:val="32"/>
        </w:rPr>
        <w:t>发现的主要问题及原因：（</w:t>
      </w:r>
      <w:r>
        <w:rPr>
          <w:rFonts w:hint="eastAsia" w:ascii="宋体" w:eastAsia="宋体"/>
          <w:sz w:val="32"/>
        </w:rPr>
        <w:t>1</w:t>
      </w:r>
      <w:r>
        <w:rPr>
          <w:sz w:val="32"/>
        </w:rPr>
        <w:t>）项目立项、实施存在问题。（2）资金管理使用存在问题。下一步改进措施：健全完善预算管理、绩效管理，进一步提供成本预算准确性，预算执行有效性；推进预算执行管理，加强业务指导和监督检查，及时督促项目进度，协调解决实施中的难点和问题，增强资金使用效益。</w:t>
      </w:r>
    </w:p>
    <w:p>
      <w:pPr>
        <w:pStyle w:val="5"/>
        <w:spacing w:before="2"/>
        <w:rPr>
          <w:sz w:val="24"/>
        </w:rPr>
      </w:pPr>
    </w:p>
    <w:p>
      <w:pPr>
        <w:pStyle w:val="3"/>
        <w:rPr>
          <w:rFonts w:hint="eastAsia" w:ascii="楷体" w:eastAsia="楷体"/>
        </w:rPr>
      </w:pPr>
      <w:r>
        <w:rPr>
          <w:rFonts w:hint="eastAsia" w:ascii="楷体" w:eastAsia="楷体"/>
        </w:rPr>
        <w:t>（三）单位项目绩效评价结果。</w:t>
      </w:r>
    </w:p>
    <w:p>
      <w:pPr>
        <w:pStyle w:val="5"/>
        <w:spacing w:before="7"/>
        <w:rPr>
          <w:rFonts w:ascii="楷体"/>
          <w:b/>
          <w:sz w:val="33"/>
        </w:rPr>
      </w:pPr>
    </w:p>
    <w:p>
      <w:pPr>
        <w:pStyle w:val="5"/>
        <w:spacing w:before="1" w:line="328" w:lineRule="auto"/>
        <w:ind w:left="140" w:right="1419" w:firstLine="640"/>
        <w:jc w:val="both"/>
      </w:pPr>
      <w:r>
        <w:rPr>
          <w:spacing w:val="13"/>
          <w:w w:val="95"/>
        </w:rPr>
        <w:t xml:space="preserve">以“乡村振兴人居环境整治及厕所革命工作经费”项 </w:t>
      </w:r>
      <w:r>
        <w:rPr>
          <w:spacing w:val="1"/>
        </w:rPr>
        <w:t>目为例，该项目绩效评价综合得分为</w:t>
      </w:r>
      <w:r>
        <w:rPr>
          <w:spacing w:val="-5"/>
          <w:u w:val="single"/>
        </w:rPr>
        <w:t xml:space="preserve"> </w:t>
      </w:r>
      <w:r>
        <w:rPr>
          <w:rFonts w:ascii="Times New Roman" w:hAnsi="Times New Roman" w:eastAsia="Times New Roman"/>
          <w:u w:val="single"/>
        </w:rPr>
        <w:t>95</w:t>
      </w:r>
      <w:r>
        <w:rPr>
          <w:rFonts w:ascii="Times New Roman" w:hAnsi="Times New Roman" w:eastAsia="Times New Roman"/>
          <w:spacing w:val="-18"/>
        </w:rPr>
        <w:t xml:space="preserve"> </w:t>
      </w:r>
      <w:r>
        <w:t>分，绩效评价结果</w:t>
      </w:r>
      <w:r>
        <w:rPr>
          <w:spacing w:val="5"/>
          <w:w w:val="95"/>
        </w:rPr>
        <w:t>为</w:t>
      </w:r>
      <w:r>
        <w:rPr>
          <w:rFonts w:ascii="Times New Roman" w:hAnsi="Times New Roman" w:eastAsia="Times New Roman"/>
          <w:spacing w:val="2"/>
          <w:w w:val="95"/>
        </w:rPr>
        <w:t>“A”</w:t>
      </w:r>
      <w:r>
        <w:rPr>
          <w:spacing w:val="4"/>
          <w:w w:val="95"/>
        </w:rPr>
        <w:t xml:space="preserve">。重点项目绩效评价得分情况详见单位具体绩效评价 </w:t>
      </w:r>
      <w:r>
        <w:t>结果。</w:t>
      </w:r>
    </w:p>
    <w:p>
      <w:pPr>
        <w:pStyle w:val="5"/>
        <w:spacing w:before="1" w:line="328" w:lineRule="auto"/>
        <w:ind w:left="140" w:right="1419" w:firstLine="640"/>
        <w:jc w:val="both"/>
      </w:pPr>
    </w:p>
    <w:p>
      <w:pPr>
        <w:pStyle w:val="5"/>
        <w:spacing w:before="1" w:line="328" w:lineRule="auto"/>
        <w:ind w:left="140" w:right="1419" w:firstLine="640"/>
        <w:jc w:val="both"/>
      </w:pPr>
    </w:p>
    <w:p>
      <w:pPr>
        <w:pStyle w:val="5"/>
        <w:spacing w:before="1" w:line="328" w:lineRule="auto"/>
        <w:ind w:left="140" w:right="1419" w:firstLine="640"/>
        <w:jc w:val="both"/>
      </w:pPr>
    </w:p>
    <w:p>
      <w:pPr>
        <w:pStyle w:val="5"/>
        <w:spacing w:before="1" w:line="328" w:lineRule="auto"/>
        <w:ind w:left="140" w:right="1419" w:firstLine="640"/>
        <w:jc w:val="both"/>
      </w:pPr>
    </w:p>
    <w:p>
      <w:pPr>
        <w:pStyle w:val="5"/>
        <w:spacing w:before="1" w:line="328" w:lineRule="auto"/>
        <w:ind w:left="140" w:right="1419" w:firstLine="640"/>
        <w:jc w:val="both"/>
      </w:pPr>
    </w:p>
    <w:p>
      <w:pPr>
        <w:pStyle w:val="5"/>
        <w:spacing w:before="1" w:line="328" w:lineRule="auto"/>
        <w:ind w:left="140" w:right="1419" w:firstLine="640"/>
        <w:jc w:val="both"/>
      </w:pPr>
    </w:p>
    <w:p>
      <w:pPr>
        <w:pStyle w:val="5"/>
        <w:spacing w:before="1" w:line="328" w:lineRule="auto"/>
        <w:ind w:left="140" w:right="1419" w:firstLine="640"/>
        <w:jc w:val="both"/>
      </w:pPr>
    </w:p>
    <w:tbl>
      <w:tblPr>
        <w:tblStyle w:val="8"/>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6"/>
        <w:gridCol w:w="960"/>
        <w:gridCol w:w="880"/>
        <w:gridCol w:w="1075"/>
        <w:gridCol w:w="870"/>
        <w:gridCol w:w="400"/>
        <w:gridCol w:w="517"/>
        <w:gridCol w:w="798"/>
        <w:gridCol w:w="620"/>
        <w:gridCol w:w="775"/>
        <w:gridCol w:w="437"/>
        <w:gridCol w:w="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8784" w:type="dxa"/>
            <w:gridSpan w:val="12"/>
          </w:tcPr>
          <w:p>
            <w:pPr>
              <w:pStyle w:val="12"/>
              <w:spacing w:before="4" w:line="510" w:lineRule="atLeast"/>
              <w:ind w:left="3234" w:right="2572" w:hanging="651"/>
              <w:rPr>
                <w:b/>
                <w:sz w:val="40"/>
              </w:rPr>
            </w:pPr>
            <w:r>
              <w:rPr>
                <w:b/>
                <w:sz w:val="40"/>
              </w:rPr>
              <w:t>项目支出绩效自评表(2022 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746" w:type="dxa"/>
            <w:gridSpan w:val="2"/>
          </w:tcPr>
          <w:p>
            <w:pPr>
              <w:pStyle w:val="12"/>
              <w:spacing w:before="73"/>
              <w:ind w:left="916"/>
              <w:rPr>
                <w:sz w:val="18"/>
              </w:rPr>
            </w:pPr>
            <w:r>
              <w:rPr>
                <w:sz w:val="18"/>
              </w:rPr>
              <w:t>项目名称</w:t>
            </w:r>
          </w:p>
        </w:tc>
        <w:tc>
          <w:tcPr>
            <w:tcW w:w="7038" w:type="dxa"/>
            <w:gridSpan w:val="10"/>
          </w:tcPr>
          <w:p>
            <w:pPr>
              <w:pStyle w:val="12"/>
              <w:spacing w:before="73"/>
              <w:ind w:left="106"/>
              <w:rPr>
                <w:sz w:val="18"/>
              </w:rPr>
            </w:pPr>
            <w:r>
              <w:rPr>
                <w:sz w:val="18"/>
              </w:rPr>
              <w:t>乡村振兴人居环境整治及厕所革命工作经费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746" w:type="dxa"/>
            <w:gridSpan w:val="2"/>
          </w:tcPr>
          <w:p>
            <w:pPr>
              <w:pStyle w:val="12"/>
              <w:spacing w:before="10"/>
              <w:rPr>
                <w:rFonts w:ascii="仿宋"/>
                <w:sz w:val="12"/>
              </w:rPr>
            </w:pPr>
          </w:p>
          <w:p>
            <w:pPr>
              <w:pStyle w:val="12"/>
              <w:spacing w:before="1"/>
              <w:ind w:left="916"/>
              <w:rPr>
                <w:sz w:val="18"/>
              </w:rPr>
            </w:pPr>
            <w:r>
              <w:rPr>
                <w:sz w:val="18"/>
              </w:rPr>
              <w:t>主管部门</w:t>
            </w:r>
          </w:p>
        </w:tc>
        <w:tc>
          <w:tcPr>
            <w:tcW w:w="3225" w:type="dxa"/>
            <w:gridSpan w:val="4"/>
          </w:tcPr>
          <w:p>
            <w:pPr>
              <w:pStyle w:val="12"/>
              <w:spacing w:before="10"/>
              <w:rPr>
                <w:rFonts w:ascii="仿宋"/>
                <w:sz w:val="12"/>
              </w:rPr>
            </w:pPr>
          </w:p>
          <w:p>
            <w:pPr>
              <w:pStyle w:val="12"/>
              <w:spacing w:before="1"/>
              <w:ind w:left="106"/>
              <w:rPr>
                <w:sz w:val="18"/>
              </w:rPr>
            </w:pPr>
            <w:r>
              <w:rPr>
                <w:sz w:val="18"/>
              </w:rPr>
              <w:t>锡林郭勒盟农牧局（部门）</w:t>
            </w:r>
          </w:p>
        </w:tc>
        <w:tc>
          <w:tcPr>
            <w:tcW w:w="1315" w:type="dxa"/>
            <w:gridSpan w:val="2"/>
          </w:tcPr>
          <w:p>
            <w:pPr>
              <w:pStyle w:val="12"/>
              <w:spacing w:before="10"/>
              <w:rPr>
                <w:rFonts w:ascii="仿宋"/>
                <w:sz w:val="12"/>
              </w:rPr>
            </w:pPr>
          </w:p>
          <w:p>
            <w:pPr>
              <w:pStyle w:val="12"/>
              <w:spacing w:before="1"/>
              <w:ind w:left="486"/>
              <w:rPr>
                <w:sz w:val="18"/>
              </w:rPr>
            </w:pPr>
            <w:r>
              <w:rPr>
                <w:sz w:val="18"/>
              </w:rPr>
              <w:t>实施单位</w:t>
            </w:r>
          </w:p>
        </w:tc>
        <w:tc>
          <w:tcPr>
            <w:tcW w:w="2498" w:type="dxa"/>
            <w:gridSpan w:val="4"/>
          </w:tcPr>
          <w:p>
            <w:pPr>
              <w:pStyle w:val="12"/>
              <w:spacing w:before="47" w:line="242" w:lineRule="auto"/>
              <w:ind w:left="107" w:right="218"/>
              <w:rPr>
                <w:sz w:val="18"/>
              </w:rPr>
            </w:pPr>
            <w:r>
              <w:rPr>
                <w:sz w:val="18"/>
              </w:rPr>
              <w:t>锡林郭勒盟农村牧区社会事业发展中心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746" w:type="dxa"/>
            <w:gridSpan w:val="2"/>
            <w:vMerge w:val="restart"/>
          </w:tcPr>
          <w:p>
            <w:pPr>
              <w:pStyle w:val="12"/>
              <w:rPr>
                <w:rFonts w:ascii="仿宋"/>
                <w:sz w:val="18"/>
              </w:rPr>
            </w:pPr>
          </w:p>
          <w:p>
            <w:pPr>
              <w:pStyle w:val="12"/>
              <w:rPr>
                <w:rFonts w:ascii="仿宋"/>
                <w:sz w:val="18"/>
              </w:rPr>
            </w:pPr>
          </w:p>
          <w:p>
            <w:pPr>
              <w:pStyle w:val="12"/>
              <w:rPr>
                <w:rFonts w:ascii="仿宋"/>
                <w:sz w:val="18"/>
              </w:rPr>
            </w:pPr>
          </w:p>
          <w:p>
            <w:pPr>
              <w:pStyle w:val="12"/>
              <w:spacing w:before="2"/>
              <w:rPr>
                <w:rFonts w:ascii="仿宋"/>
                <w:sz w:val="26"/>
              </w:rPr>
            </w:pPr>
          </w:p>
          <w:p>
            <w:pPr>
              <w:pStyle w:val="12"/>
              <w:ind w:left="513"/>
              <w:rPr>
                <w:sz w:val="18"/>
              </w:rPr>
            </w:pPr>
            <w:r>
              <w:rPr>
                <w:sz w:val="18"/>
              </w:rPr>
              <w:t>项目资金</w:t>
            </w:r>
          </w:p>
          <w:p>
            <w:pPr>
              <w:pStyle w:val="12"/>
              <w:spacing w:before="2"/>
              <w:ind w:left="513"/>
              <w:rPr>
                <w:sz w:val="18"/>
              </w:rPr>
            </w:pPr>
            <w:r>
              <w:rPr>
                <w:sz w:val="18"/>
              </w:rPr>
              <w:t>（万元）</w:t>
            </w:r>
          </w:p>
        </w:tc>
        <w:tc>
          <w:tcPr>
            <w:tcW w:w="880" w:type="dxa"/>
          </w:tcPr>
          <w:p>
            <w:pPr>
              <w:pStyle w:val="12"/>
              <w:rPr>
                <w:rFonts w:ascii="Times New Roman"/>
                <w:sz w:val="18"/>
              </w:rPr>
            </w:pPr>
          </w:p>
        </w:tc>
        <w:tc>
          <w:tcPr>
            <w:tcW w:w="1075" w:type="dxa"/>
          </w:tcPr>
          <w:p>
            <w:pPr>
              <w:pStyle w:val="12"/>
              <w:spacing w:before="72"/>
              <w:ind w:left="128"/>
              <w:rPr>
                <w:sz w:val="18"/>
              </w:rPr>
            </w:pPr>
            <w:r>
              <w:rPr>
                <w:sz w:val="18"/>
              </w:rPr>
              <w:t>年初预算数</w:t>
            </w:r>
          </w:p>
        </w:tc>
        <w:tc>
          <w:tcPr>
            <w:tcW w:w="1270" w:type="dxa"/>
            <w:gridSpan w:val="2"/>
          </w:tcPr>
          <w:p>
            <w:pPr>
              <w:pStyle w:val="12"/>
              <w:spacing w:before="72"/>
              <w:ind w:left="142"/>
              <w:rPr>
                <w:sz w:val="18"/>
              </w:rPr>
            </w:pPr>
            <w:r>
              <w:rPr>
                <w:sz w:val="18"/>
              </w:rPr>
              <w:t>全年预算数</w:t>
            </w:r>
          </w:p>
        </w:tc>
        <w:tc>
          <w:tcPr>
            <w:tcW w:w="1315" w:type="dxa"/>
            <w:gridSpan w:val="2"/>
          </w:tcPr>
          <w:p>
            <w:pPr>
              <w:pStyle w:val="12"/>
              <w:spacing w:before="72"/>
              <w:ind w:left="205"/>
              <w:rPr>
                <w:sz w:val="18"/>
              </w:rPr>
            </w:pPr>
            <w:r>
              <w:rPr>
                <w:sz w:val="18"/>
              </w:rPr>
              <w:t>全年执行数</w:t>
            </w:r>
          </w:p>
        </w:tc>
        <w:tc>
          <w:tcPr>
            <w:tcW w:w="620" w:type="dxa"/>
          </w:tcPr>
          <w:p>
            <w:pPr>
              <w:pStyle w:val="12"/>
              <w:spacing w:before="72"/>
              <w:ind w:left="98" w:right="91"/>
              <w:jc w:val="center"/>
              <w:rPr>
                <w:sz w:val="18"/>
              </w:rPr>
            </w:pPr>
            <w:r>
              <w:rPr>
                <w:sz w:val="18"/>
              </w:rPr>
              <w:t>分值</w:t>
            </w:r>
          </w:p>
        </w:tc>
        <w:tc>
          <w:tcPr>
            <w:tcW w:w="1212" w:type="dxa"/>
            <w:gridSpan w:val="2"/>
          </w:tcPr>
          <w:p>
            <w:pPr>
              <w:pStyle w:val="12"/>
              <w:spacing w:before="72"/>
              <w:ind w:left="111"/>
              <w:rPr>
                <w:sz w:val="18"/>
              </w:rPr>
            </w:pPr>
            <w:r>
              <w:rPr>
                <w:sz w:val="18"/>
              </w:rPr>
              <w:t>执行率（%）</w:t>
            </w:r>
          </w:p>
        </w:tc>
        <w:tc>
          <w:tcPr>
            <w:tcW w:w="666" w:type="dxa"/>
          </w:tcPr>
          <w:p>
            <w:pPr>
              <w:pStyle w:val="12"/>
              <w:spacing w:before="72"/>
              <w:ind w:left="122" w:right="114"/>
              <w:jc w:val="center"/>
              <w:rPr>
                <w:sz w:val="18"/>
              </w:rPr>
            </w:pPr>
            <w:r>
              <w:rPr>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746" w:type="dxa"/>
            <w:gridSpan w:val="2"/>
            <w:vMerge w:val="continue"/>
            <w:tcBorders>
              <w:top w:val="nil"/>
            </w:tcBorders>
          </w:tcPr>
          <w:p>
            <w:pPr>
              <w:rPr>
                <w:sz w:val="2"/>
                <w:szCs w:val="2"/>
              </w:rPr>
            </w:pPr>
          </w:p>
        </w:tc>
        <w:tc>
          <w:tcPr>
            <w:tcW w:w="880" w:type="dxa"/>
          </w:tcPr>
          <w:p>
            <w:pPr>
              <w:pStyle w:val="12"/>
              <w:ind w:left="168"/>
              <w:rPr>
                <w:sz w:val="18"/>
              </w:rPr>
            </w:pPr>
            <w:r>
              <w:rPr>
                <w:sz w:val="18"/>
              </w:rPr>
              <w:t>年度资</w:t>
            </w:r>
          </w:p>
          <w:p>
            <w:pPr>
              <w:pStyle w:val="12"/>
              <w:spacing w:before="4" w:line="211" w:lineRule="exact"/>
              <w:ind w:left="168"/>
              <w:rPr>
                <w:sz w:val="18"/>
              </w:rPr>
            </w:pPr>
            <w:r>
              <w:rPr>
                <w:sz w:val="18"/>
              </w:rPr>
              <w:t>金总额</w:t>
            </w:r>
          </w:p>
        </w:tc>
        <w:tc>
          <w:tcPr>
            <w:tcW w:w="1075" w:type="dxa"/>
          </w:tcPr>
          <w:p>
            <w:pPr>
              <w:pStyle w:val="12"/>
              <w:spacing w:before="117"/>
              <w:ind w:left="107"/>
              <w:rPr>
                <w:sz w:val="18"/>
              </w:rPr>
            </w:pPr>
            <w:r>
              <w:rPr>
                <w:sz w:val="18"/>
              </w:rPr>
              <w:t>10.00</w:t>
            </w:r>
          </w:p>
        </w:tc>
        <w:tc>
          <w:tcPr>
            <w:tcW w:w="1270" w:type="dxa"/>
            <w:gridSpan w:val="2"/>
          </w:tcPr>
          <w:p>
            <w:pPr>
              <w:pStyle w:val="12"/>
              <w:spacing w:before="117"/>
              <w:ind w:left="365"/>
              <w:rPr>
                <w:sz w:val="18"/>
              </w:rPr>
            </w:pPr>
            <w:r>
              <w:rPr>
                <w:sz w:val="18"/>
              </w:rPr>
              <w:t>10.00</w:t>
            </w:r>
          </w:p>
        </w:tc>
        <w:tc>
          <w:tcPr>
            <w:tcW w:w="1315" w:type="dxa"/>
            <w:gridSpan w:val="2"/>
          </w:tcPr>
          <w:p>
            <w:pPr>
              <w:pStyle w:val="12"/>
              <w:spacing w:before="117"/>
              <w:ind w:left="431"/>
              <w:rPr>
                <w:sz w:val="18"/>
              </w:rPr>
            </w:pPr>
            <w:r>
              <w:rPr>
                <w:sz w:val="18"/>
              </w:rPr>
              <w:t>10.00</w:t>
            </w:r>
          </w:p>
        </w:tc>
        <w:tc>
          <w:tcPr>
            <w:tcW w:w="620" w:type="dxa"/>
          </w:tcPr>
          <w:p>
            <w:pPr>
              <w:pStyle w:val="12"/>
              <w:spacing w:before="117"/>
              <w:ind w:left="99" w:right="88"/>
              <w:jc w:val="center"/>
              <w:rPr>
                <w:sz w:val="18"/>
              </w:rPr>
            </w:pPr>
            <w:r>
              <w:rPr>
                <w:sz w:val="18"/>
              </w:rPr>
              <w:t>10</w:t>
            </w:r>
          </w:p>
        </w:tc>
        <w:tc>
          <w:tcPr>
            <w:tcW w:w="1212" w:type="dxa"/>
            <w:gridSpan w:val="2"/>
          </w:tcPr>
          <w:p>
            <w:pPr>
              <w:pStyle w:val="12"/>
              <w:spacing w:before="117"/>
              <w:ind w:left="334"/>
              <w:rPr>
                <w:sz w:val="18"/>
              </w:rPr>
            </w:pPr>
            <w:r>
              <w:rPr>
                <w:sz w:val="18"/>
              </w:rPr>
              <w:t>100.00</w:t>
            </w:r>
          </w:p>
        </w:tc>
        <w:tc>
          <w:tcPr>
            <w:tcW w:w="666" w:type="dxa"/>
          </w:tcPr>
          <w:p>
            <w:pPr>
              <w:pStyle w:val="12"/>
              <w:spacing w:before="117"/>
              <w:ind w:left="122" w:right="111"/>
              <w:jc w:val="center"/>
              <w:rPr>
                <w:sz w:val="18"/>
              </w:rPr>
            </w:pPr>
            <w:r>
              <w:rPr>
                <w:sz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1746" w:type="dxa"/>
            <w:gridSpan w:val="2"/>
            <w:vMerge w:val="continue"/>
            <w:tcBorders>
              <w:top w:val="nil"/>
            </w:tcBorders>
          </w:tcPr>
          <w:p>
            <w:pPr>
              <w:rPr>
                <w:sz w:val="2"/>
                <w:szCs w:val="2"/>
              </w:rPr>
            </w:pPr>
          </w:p>
        </w:tc>
        <w:tc>
          <w:tcPr>
            <w:tcW w:w="880" w:type="dxa"/>
          </w:tcPr>
          <w:p>
            <w:pPr>
              <w:pStyle w:val="12"/>
              <w:spacing w:before="1" w:line="242" w:lineRule="auto"/>
              <w:ind w:left="106" w:right="221"/>
              <w:rPr>
                <w:sz w:val="18"/>
              </w:rPr>
            </w:pPr>
            <w:r>
              <w:rPr>
                <w:sz w:val="18"/>
              </w:rPr>
              <w:t>其中： 财政拨</w:t>
            </w:r>
          </w:p>
          <w:p>
            <w:pPr>
              <w:pStyle w:val="12"/>
              <w:spacing w:line="214" w:lineRule="exact"/>
              <w:ind w:left="106"/>
              <w:rPr>
                <w:sz w:val="18"/>
              </w:rPr>
            </w:pPr>
            <w:r>
              <w:rPr>
                <w:sz w:val="18"/>
              </w:rPr>
              <w:t>款</w:t>
            </w:r>
          </w:p>
        </w:tc>
        <w:tc>
          <w:tcPr>
            <w:tcW w:w="1075" w:type="dxa"/>
          </w:tcPr>
          <w:p>
            <w:pPr>
              <w:pStyle w:val="12"/>
              <w:spacing w:before="3"/>
              <w:rPr>
                <w:rFonts w:ascii="仿宋"/>
                <w:sz w:val="18"/>
              </w:rPr>
            </w:pPr>
          </w:p>
          <w:p>
            <w:pPr>
              <w:pStyle w:val="12"/>
              <w:ind w:left="107"/>
              <w:rPr>
                <w:sz w:val="18"/>
              </w:rPr>
            </w:pPr>
            <w:r>
              <w:rPr>
                <w:sz w:val="18"/>
              </w:rPr>
              <w:t>10.00</w:t>
            </w:r>
          </w:p>
        </w:tc>
        <w:tc>
          <w:tcPr>
            <w:tcW w:w="1270" w:type="dxa"/>
            <w:gridSpan w:val="2"/>
          </w:tcPr>
          <w:p>
            <w:pPr>
              <w:pStyle w:val="12"/>
              <w:spacing w:before="3"/>
              <w:rPr>
                <w:rFonts w:ascii="仿宋"/>
                <w:sz w:val="18"/>
              </w:rPr>
            </w:pPr>
          </w:p>
          <w:p>
            <w:pPr>
              <w:pStyle w:val="12"/>
              <w:ind w:left="365"/>
              <w:rPr>
                <w:sz w:val="18"/>
              </w:rPr>
            </w:pPr>
            <w:r>
              <w:rPr>
                <w:sz w:val="18"/>
              </w:rPr>
              <w:t>10.00</w:t>
            </w:r>
          </w:p>
        </w:tc>
        <w:tc>
          <w:tcPr>
            <w:tcW w:w="1315" w:type="dxa"/>
            <w:gridSpan w:val="2"/>
          </w:tcPr>
          <w:p>
            <w:pPr>
              <w:pStyle w:val="12"/>
              <w:spacing w:before="3"/>
              <w:rPr>
                <w:rFonts w:ascii="仿宋"/>
                <w:sz w:val="18"/>
              </w:rPr>
            </w:pPr>
          </w:p>
          <w:p>
            <w:pPr>
              <w:pStyle w:val="12"/>
              <w:ind w:left="431"/>
              <w:rPr>
                <w:sz w:val="18"/>
              </w:rPr>
            </w:pPr>
            <w:r>
              <w:rPr>
                <w:sz w:val="18"/>
              </w:rPr>
              <w:t>10.00</w:t>
            </w:r>
          </w:p>
        </w:tc>
        <w:tc>
          <w:tcPr>
            <w:tcW w:w="620" w:type="dxa"/>
          </w:tcPr>
          <w:p>
            <w:pPr>
              <w:pStyle w:val="12"/>
              <w:spacing w:before="10"/>
              <w:rPr>
                <w:rFonts w:ascii="仿宋"/>
                <w:sz w:val="18"/>
              </w:rPr>
            </w:pPr>
          </w:p>
          <w:p>
            <w:pPr>
              <w:pStyle w:val="12"/>
              <w:ind w:left="99" w:right="91"/>
              <w:jc w:val="center"/>
              <w:rPr>
                <w:rFonts w:ascii="Arial" w:hAnsi="Arial"/>
                <w:sz w:val="19"/>
              </w:rPr>
            </w:pPr>
            <w:r>
              <w:rPr>
                <w:rFonts w:ascii="Arial" w:hAnsi="Arial"/>
                <w:color w:val="212121"/>
                <w:sz w:val="19"/>
              </w:rPr>
              <w:t>——</w:t>
            </w:r>
          </w:p>
        </w:tc>
        <w:tc>
          <w:tcPr>
            <w:tcW w:w="1212" w:type="dxa"/>
            <w:gridSpan w:val="2"/>
          </w:tcPr>
          <w:p>
            <w:pPr>
              <w:pStyle w:val="12"/>
              <w:spacing w:before="3"/>
              <w:rPr>
                <w:rFonts w:ascii="仿宋"/>
                <w:sz w:val="18"/>
              </w:rPr>
            </w:pPr>
          </w:p>
          <w:p>
            <w:pPr>
              <w:pStyle w:val="12"/>
              <w:ind w:left="334"/>
              <w:rPr>
                <w:sz w:val="18"/>
              </w:rPr>
            </w:pPr>
            <w:r>
              <w:rPr>
                <w:sz w:val="18"/>
              </w:rPr>
              <w:t>100.00</w:t>
            </w:r>
          </w:p>
        </w:tc>
        <w:tc>
          <w:tcPr>
            <w:tcW w:w="666" w:type="dxa"/>
          </w:tcPr>
          <w:p>
            <w:pPr>
              <w:pStyle w:val="12"/>
              <w:spacing w:before="10"/>
              <w:rPr>
                <w:rFonts w:ascii="仿宋"/>
                <w:sz w:val="18"/>
              </w:rPr>
            </w:pPr>
          </w:p>
          <w:p>
            <w:pPr>
              <w:pStyle w:val="12"/>
              <w:ind w:left="122" w:right="114"/>
              <w:jc w:val="center"/>
              <w:rPr>
                <w:rFonts w:ascii="Arial" w:hAnsi="Arial"/>
                <w:sz w:val="19"/>
              </w:rPr>
            </w:pPr>
            <w:r>
              <w:rPr>
                <w:rFonts w:ascii="Arial" w:hAnsi="Arial"/>
                <w:color w:val="212121"/>
                <w:sz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746" w:type="dxa"/>
            <w:gridSpan w:val="2"/>
            <w:vMerge w:val="continue"/>
            <w:tcBorders>
              <w:top w:val="nil"/>
            </w:tcBorders>
          </w:tcPr>
          <w:p>
            <w:pPr>
              <w:rPr>
                <w:sz w:val="2"/>
                <w:szCs w:val="2"/>
              </w:rPr>
            </w:pPr>
          </w:p>
        </w:tc>
        <w:tc>
          <w:tcPr>
            <w:tcW w:w="880" w:type="dxa"/>
          </w:tcPr>
          <w:p>
            <w:pPr>
              <w:pStyle w:val="12"/>
              <w:spacing w:before="1"/>
              <w:ind w:left="168"/>
              <w:rPr>
                <w:sz w:val="18"/>
              </w:rPr>
            </w:pPr>
            <w:r>
              <w:rPr>
                <w:sz w:val="18"/>
              </w:rPr>
              <w:t>上年结</w:t>
            </w:r>
          </w:p>
          <w:p>
            <w:pPr>
              <w:pStyle w:val="12"/>
              <w:spacing w:before="2" w:line="213" w:lineRule="exact"/>
              <w:ind w:left="168"/>
              <w:rPr>
                <w:sz w:val="18"/>
              </w:rPr>
            </w:pPr>
            <w:r>
              <w:rPr>
                <w:sz w:val="18"/>
              </w:rPr>
              <w:t>转资金</w:t>
            </w:r>
          </w:p>
        </w:tc>
        <w:tc>
          <w:tcPr>
            <w:tcW w:w="1075" w:type="dxa"/>
          </w:tcPr>
          <w:p>
            <w:pPr>
              <w:pStyle w:val="12"/>
              <w:spacing w:before="116"/>
              <w:ind w:left="107"/>
              <w:rPr>
                <w:sz w:val="18"/>
              </w:rPr>
            </w:pPr>
            <w:r>
              <w:rPr>
                <w:sz w:val="18"/>
              </w:rPr>
              <w:t>0.00</w:t>
            </w:r>
          </w:p>
        </w:tc>
        <w:tc>
          <w:tcPr>
            <w:tcW w:w="1270" w:type="dxa"/>
            <w:gridSpan w:val="2"/>
          </w:tcPr>
          <w:p>
            <w:pPr>
              <w:pStyle w:val="12"/>
              <w:spacing w:before="116"/>
              <w:ind w:left="391" w:right="383"/>
              <w:jc w:val="center"/>
              <w:rPr>
                <w:sz w:val="18"/>
              </w:rPr>
            </w:pPr>
            <w:r>
              <w:rPr>
                <w:sz w:val="18"/>
              </w:rPr>
              <w:t>0.00</w:t>
            </w:r>
          </w:p>
        </w:tc>
        <w:tc>
          <w:tcPr>
            <w:tcW w:w="1315" w:type="dxa"/>
            <w:gridSpan w:val="2"/>
          </w:tcPr>
          <w:p>
            <w:pPr>
              <w:pStyle w:val="12"/>
              <w:spacing w:before="116"/>
              <w:ind w:left="457" w:right="448"/>
              <w:jc w:val="center"/>
              <w:rPr>
                <w:sz w:val="18"/>
              </w:rPr>
            </w:pPr>
            <w:r>
              <w:rPr>
                <w:sz w:val="18"/>
              </w:rPr>
              <w:t>0.00</w:t>
            </w:r>
          </w:p>
        </w:tc>
        <w:tc>
          <w:tcPr>
            <w:tcW w:w="620" w:type="dxa"/>
          </w:tcPr>
          <w:p>
            <w:pPr>
              <w:pStyle w:val="12"/>
              <w:spacing w:before="122"/>
              <w:ind w:left="99" w:right="91"/>
              <w:jc w:val="center"/>
              <w:rPr>
                <w:rFonts w:ascii="Arial" w:hAnsi="Arial"/>
                <w:sz w:val="19"/>
              </w:rPr>
            </w:pPr>
            <w:r>
              <w:rPr>
                <w:rFonts w:ascii="Arial" w:hAnsi="Arial"/>
                <w:color w:val="212121"/>
                <w:sz w:val="19"/>
              </w:rPr>
              <w:t>——</w:t>
            </w:r>
          </w:p>
        </w:tc>
        <w:tc>
          <w:tcPr>
            <w:tcW w:w="1212" w:type="dxa"/>
            <w:gridSpan w:val="2"/>
          </w:tcPr>
          <w:p>
            <w:pPr>
              <w:pStyle w:val="12"/>
              <w:spacing w:before="116"/>
              <w:ind w:left="8"/>
              <w:jc w:val="center"/>
              <w:rPr>
                <w:sz w:val="18"/>
              </w:rPr>
            </w:pPr>
            <w:r>
              <w:rPr>
                <w:sz w:val="18"/>
              </w:rPr>
              <w:t>0</w:t>
            </w:r>
          </w:p>
        </w:tc>
        <w:tc>
          <w:tcPr>
            <w:tcW w:w="666" w:type="dxa"/>
          </w:tcPr>
          <w:p>
            <w:pPr>
              <w:pStyle w:val="12"/>
              <w:spacing w:before="122"/>
              <w:ind w:left="122" w:right="114"/>
              <w:jc w:val="center"/>
              <w:rPr>
                <w:rFonts w:ascii="Arial" w:hAnsi="Arial"/>
                <w:sz w:val="19"/>
              </w:rPr>
            </w:pPr>
            <w:r>
              <w:rPr>
                <w:rFonts w:ascii="Arial" w:hAnsi="Arial"/>
                <w:color w:val="212121"/>
                <w:sz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746" w:type="dxa"/>
            <w:gridSpan w:val="2"/>
            <w:vMerge w:val="continue"/>
            <w:tcBorders>
              <w:top w:val="nil"/>
            </w:tcBorders>
          </w:tcPr>
          <w:p>
            <w:pPr>
              <w:rPr>
                <w:sz w:val="2"/>
                <w:szCs w:val="2"/>
              </w:rPr>
            </w:pPr>
          </w:p>
        </w:tc>
        <w:tc>
          <w:tcPr>
            <w:tcW w:w="880" w:type="dxa"/>
          </w:tcPr>
          <w:p>
            <w:pPr>
              <w:pStyle w:val="12"/>
              <w:spacing w:before="1"/>
              <w:ind w:left="148" w:right="141"/>
              <w:jc w:val="center"/>
              <w:rPr>
                <w:sz w:val="18"/>
              </w:rPr>
            </w:pPr>
            <w:r>
              <w:rPr>
                <w:sz w:val="18"/>
              </w:rPr>
              <w:t>其他资</w:t>
            </w:r>
          </w:p>
          <w:p>
            <w:pPr>
              <w:pStyle w:val="12"/>
              <w:spacing w:before="2" w:line="212" w:lineRule="exact"/>
              <w:ind w:left="7"/>
              <w:jc w:val="center"/>
              <w:rPr>
                <w:sz w:val="18"/>
              </w:rPr>
            </w:pPr>
            <w:r>
              <w:rPr>
                <w:sz w:val="18"/>
              </w:rPr>
              <w:t>金</w:t>
            </w:r>
          </w:p>
        </w:tc>
        <w:tc>
          <w:tcPr>
            <w:tcW w:w="1075" w:type="dxa"/>
          </w:tcPr>
          <w:p>
            <w:pPr>
              <w:pStyle w:val="12"/>
              <w:spacing w:before="116"/>
              <w:ind w:left="107"/>
              <w:rPr>
                <w:sz w:val="18"/>
              </w:rPr>
            </w:pPr>
            <w:r>
              <w:rPr>
                <w:sz w:val="18"/>
              </w:rPr>
              <w:t>0.00</w:t>
            </w:r>
          </w:p>
        </w:tc>
        <w:tc>
          <w:tcPr>
            <w:tcW w:w="1270" w:type="dxa"/>
            <w:gridSpan w:val="2"/>
          </w:tcPr>
          <w:p>
            <w:pPr>
              <w:pStyle w:val="12"/>
              <w:spacing w:before="116"/>
              <w:ind w:left="391" w:right="383"/>
              <w:jc w:val="center"/>
              <w:rPr>
                <w:sz w:val="18"/>
              </w:rPr>
            </w:pPr>
            <w:r>
              <w:rPr>
                <w:sz w:val="18"/>
              </w:rPr>
              <w:t>0.00</w:t>
            </w:r>
          </w:p>
        </w:tc>
        <w:tc>
          <w:tcPr>
            <w:tcW w:w="1315" w:type="dxa"/>
            <w:gridSpan w:val="2"/>
          </w:tcPr>
          <w:p>
            <w:pPr>
              <w:pStyle w:val="12"/>
              <w:spacing w:before="116"/>
              <w:ind w:left="457" w:right="448"/>
              <w:jc w:val="center"/>
              <w:rPr>
                <w:sz w:val="18"/>
              </w:rPr>
            </w:pPr>
            <w:r>
              <w:rPr>
                <w:sz w:val="18"/>
              </w:rPr>
              <w:t>0.00</w:t>
            </w:r>
          </w:p>
        </w:tc>
        <w:tc>
          <w:tcPr>
            <w:tcW w:w="620" w:type="dxa"/>
          </w:tcPr>
          <w:p>
            <w:pPr>
              <w:pStyle w:val="12"/>
              <w:spacing w:before="121"/>
              <w:ind w:left="99" w:right="91"/>
              <w:jc w:val="center"/>
              <w:rPr>
                <w:rFonts w:ascii="Arial" w:hAnsi="Arial"/>
                <w:sz w:val="19"/>
              </w:rPr>
            </w:pPr>
            <w:r>
              <w:rPr>
                <w:rFonts w:ascii="Arial" w:hAnsi="Arial"/>
                <w:color w:val="212121"/>
                <w:sz w:val="19"/>
              </w:rPr>
              <w:t>——</w:t>
            </w:r>
          </w:p>
        </w:tc>
        <w:tc>
          <w:tcPr>
            <w:tcW w:w="1212" w:type="dxa"/>
            <w:gridSpan w:val="2"/>
          </w:tcPr>
          <w:p>
            <w:pPr>
              <w:pStyle w:val="12"/>
              <w:spacing w:before="116"/>
              <w:ind w:left="8"/>
              <w:jc w:val="center"/>
              <w:rPr>
                <w:sz w:val="18"/>
              </w:rPr>
            </w:pPr>
            <w:r>
              <w:rPr>
                <w:sz w:val="18"/>
              </w:rPr>
              <w:t>0</w:t>
            </w:r>
          </w:p>
        </w:tc>
        <w:tc>
          <w:tcPr>
            <w:tcW w:w="666" w:type="dxa"/>
          </w:tcPr>
          <w:p>
            <w:pPr>
              <w:pStyle w:val="12"/>
              <w:spacing w:before="121"/>
              <w:ind w:left="122" w:right="114"/>
              <w:jc w:val="center"/>
              <w:rPr>
                <w:rFonts w:ascii="Arial" w:hAnsi="Arial"/>
                <w:sz w:val="19"/>
              </w:rPr>
            </w:pPr>
            <w:r>
              <w:rPr>
                <w:rFonts w:ascii="Arial" w:hAnsi="Arial"/>
                <w:color w:val="212121"/>
                <w:sz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746" w:type="dxa"/>
            <w:gridSpan w:val="2"/>
            <w:vMerge w:val="restart"/>
          </w:tcPr>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spacing w:before="8"/>
              <w:rPr>
                <w:rFonts w:ascii="仿宋"/>
                <w:sz w:val="16"/>
              </w:rPr>
            </w:pPr>
          </w:p>
          <w:p>
            <w:pPr>
              <w:pStyle w:val="12"/>
              <w:ind w:left="333"/>
              <w:rPr>
                <w:sz w:val="18"/>
              </w:rPr>
            </w:pPr>
            <w:r>
              <w:rPr>
                <w:sz w:val="18"/>
              </w:rPr>
              <w:t>年度总体目标</w:t>
            </w:r>
          </w:p>
        </w:tc>
        <w:tc>
          <w:tcPr>
            <w:tcW w:w="3742" w:type="dxa"/>
            <w:gridSpan w:val="5"/>
          </w:tcPr>
          <w:p>
            <w:pPr>
              <w:pStyle w:val="12"/>
              <w:spacing w:before="75"/>
              <w:ind w:left="125" w:right="118"/>
              <w:jc w:val="center"/>
              <w:rPr>
                <w:sz w:val="18"/>
              </w:rPr>
            </w:pPr>
            <w:r>
              <w:rPr>
                <w:sz w:val="18"/>
              </w:rPr>
              <w:t>预期目标</w:t>
            </w:r>
          </w:p>
        </w:tc>
        <w:tc>
          <w:tcPr>
            <w:tcW w:w="3296" w:type="dxa"/>
            <w:gridSpan w:val="5"/>
          </w:tcPr>
          <w:p>
            <w:pPr>
              <w:pStyle w:val="12"/>
              <w:spacing w:before="75"/>
              <w:ind w:left="1047"/>
              <w:rPr>
                <w:sz w:val="18"/>
              </w:rPr>
            </w:pPr>
            <w:r>
              <w:rPr>
                <w:sz w:val="18"/>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5" w:hRule="atLeast"/>
        </w:trPr>
        <w:tc>
          <w:tcPr>
            <w:tcW w:w="1746" w:type="dxa"/>
            <w:gridSpan w:val="2"/>
            <w:vMerge w:val="continue"/>
            <w:tcBorders>
              <w:top w:val="nil"/>
            </w:tcBorders>
          </w:tcPr>
          <w:p>
            <w:pPr>
              <w:rPr>
                <w:sz w:val="2"/>
                <w:szCs w:val="2"/>
              </w:rPr>
            </w:pPr>
          </w:p>
        </w:tc>
        <w:tc>
          <w:tcPr>
            <w:tcW w:w="3742" w:type="dxa"/>
            <w:gridSpan w:val="5"/>
          </w:tcPr>
          <w:p>
            <w:pPr>
              <w:pStyle w:val="12"/>
              <w:rPr>
                <w:rFonts w:ascii="仿宋"/>
                <w:sz w:val="18"/>
              </w:rPr>
            </w:pPr>
          </w:p>
          <w:p>
            <w:pPr>
              <w:pStyle w:val="12"/>
              <w:rPr>
                <w:rFonts w:ascii="仿宋"/>
                <w:sz w:val="18"/>
              </w:rPr>
            </w:pPr>
          </w:p>
          <w:p>
            <w:pPr>
              <w:pStyle w:val="12"/>
              <w:rPr>
                <w:rFonts w:ascii="仿宋"/>
                <w:sz w:val="18"/>
              </w:rPr>
            </w:pPr>
          </w:p>
          <w:p>
            <w:pPr>
              <w:pStyle w:val="12"/>
              <w:spacing w:before="11"/>
              <w:rPr>
                <w:rFonts w:ascii="仿宋"/>
                <w:sz w:val="18"/>
              </w:rPr>
            </w:pPr>
          </w:p>
          <w:p>
            <w:pPr>
              <w:pStyle w:val="12"/>
              <w:spacing w:line="242" w:lineRule="auto"/>
              <w:ind w:left="128" w:right="118"/>
              <w:jc w:val="center"/>
              <w:rPr>
                <w:sz w:val="18"/>
              </w:rPr>
            </w:pPr>
            <w:r>
              <w:rPr>
                <w:spacing w:val="-15"/>
                <w:sz w:val="18"/>
              </w:rPr>
              <w:t xml:space="preserve">完成 </w:t>
            </w:r>
            <w:r>
              <w:rPr>
                <w:sz w:val="18"/>
              </w:rPr>
              <w:t>13</w:t>
            </w:r>
            <w:r>
              <w:rPr>
                <w:spacing w:val="-7"/>
                <w:sz w:val="18"/>
              </w:rPr>
              <w:t xml:space="preserve"> 个旗县市区人居环境整治“厕所革  </w:t>
            </w:r>
            <w:r>
              <w:rPr>
                <w:spacing w:val="-8"/>
                <w:sz w:val="18"/>
              </w:rPr>
              <w:t>命”工作；召开全盟培训会议，全盟范围开展</w:t>
            </w:r>
            <w:r>
              <w:rPr>
                <w:spacing w:val="-1"/>
                <w:sz w:val="18"/>
              </w:rPr>
              <w:t>现场督查、考评；开展人居环境整治“厕所革命”调研工作及自治区、盟委行署临时交办的</w:t>
            </w:r>
            <w:r>
              <w:rPr>
                <w:sz w:val="18"/>
              </w:rPr>
              <w:t>调研工作。</w:t>
            </w:r>
          </w:p>
        </w:tc>
        <w:tc>
          <w:tcPr>
            <w:tcW w:w="3296" w:type="dxa"/>
            <w:gridSpan w:val="5"/>
          </w:tcPr>
          <w:p>
            <w:pPr>
              <w:pStyle w:val="12"/>
              <w:spacing w:before="3" w:line="242" w:lineRule="auto"/>
              <w:ind w:left="147" w:right="115" w:hanging="22"/>
              <w:jc w:val="both"/>
              <w:rPr>
                <w:sz w:val="18"/>
              </w:rPr>
            </w:pPr>
            <w:r>
              <w:rPr>
                <w:spacing w:val="-15"/>
                <w:sz w:val="18"/>
              </w:rPr>
              <w:t xml:space="preserve">完成 </w:t>
            </w:r>
            <w:r>
              <w:rPr>
                <w:sz w:val="18"/>
              </w:rPr>
              <w:t>13</w:t>
            </w:r>
            <w:r>
              <w:rPr>
                <w:spacing w:val="-8"/>
                <w:sz w:val="18"/>
              </w:rPr>
              <w:t xml:space="preserve"> 个旗县市区，</w:t>
            </w:r>
            <w:r>
              <w:rPr>
                <w:sz w:val="18"/>
              </w:rPr>
              <w:t>150</w:t>
            </w:r>
            <w:r>
              <w:rPr>
                <w:spacing w:val="-11"/>
                <w:sz w:val="18"/>
              </w:rPr>
              <w:t xml:space="preserve"> 个嘎查村分</w:t>
            </w:r>
            <w:r>
              <w:rPr>
                <w:sz w:val="18"/>
              </w:rPr>
              <w:t>场人居环境整治厕所革命工作，联合盟农牧局举办全盟农村牧区户厕问题</w:t>
            </w:r>
            <w:r>
              <w:rPr>
                <w:spacing w:val="-5"/>
                <w:sz w:val="18"/>
              </w:rPr>
              <w:t xml:space="preserve">摸排整改档案培训会 </w:t>
            </w:r>
            <w:r>
              <w:rPr>
                <w:sz w:val="18"/>
              </w:rPr>
              <w:t>1</w:t>
            </w:r>
            <w:r>
              <w:rPr>
                <w:spacing w:val="-8"/>
                <w:sz w:val="18"/>
              </w:rPr>
              <w:t xml:space="preserve"> 次，开展全盟</w:t>
            </w:r>
          </w:p>
          <w:p>
            <w:pPr>
              <w:pStyle w:val="12"/>
              <w:spacing w:line="242" w:lineRule="auto"/>
              <w:ind w:left="147" w:right="139" w:firstLine="24"/>
              <w:jc w:val="both"/>
              <w:rPr>
                <w:sz w:val="18"/>
              </w:rPr>
            </w:pPr>
            <w:r>
              <w:rPr>
                <w:spacing w:val="-3"/>
                <w:sz w:val="18"/>
              </w:rPr>
              <w:t xml:space="preserve">户厕问题摸排整改督查、指导工作 </w:t>
            </w:r>
            <w:r>
              <w:rPr>
                <w:sz w:val="18"/>
              </w:rPr>
              <w:t xml:space="preserve">2 </w:t>
            </w:r>
            <w:r>
              <w:rPr>
                <w:spacing w:val="-2"/>
                <w:sz w:val="18"/>
              </w:rPr>
              <w:t>次，开展全盟农村牧区户厕问题摸排</w:t>
            </w:r>
            <w:r>
              <w:rPr>
                <w:spacing w:val="-5"/>
                <w:sz w:val="18"/>
              </w:rPr>
              <w:t xml:space="preserve">整改“回头看”工作 </w:t>
            </w:r>
            <w:r>
              <w:rPr>
                <w:sz w:val="18"/>
              </w:rPr>
              <w:t>3</w:t>
            </w:r>
            <w:r>
              <w:rPr>
                <w:spacing w:val="-10"/>
                <w:sz w:val="18"/>
              </w:rPr>
              <w:t xml:space="preserve"> 次，开展“菌</w:t>
            </w:r>
          </w:p>
          <w:p>
            <w:pPr>
              <w:pStyle w:val="12"/>
              <w:spacing w:before="1" w:line="242" w:lineRule="auto"/>
              <w:ind w:left="147" w:right="139"/>
              <w:jc w:val="both"/>
              <w:rPr>
                <w:sz w:val="18"/>
              </w:rPr>
            </w:pPr>
            <w:r>
              <w:rPr>
                <w:spacing w:val="-4"/>
                <w:sz w:val="18"/>
              </w:rPr>
              <w:t xml:space="preserve">包”试验示范推广工作调研 </w:t>
            </w:r>
            <w:r>
              <w:rPr>
                <w:sz w:val="18"/>
              </w:rPr>
              <w:t>1</w:t>
            </w:r>
            <w:r>
              <w:rPr>
                <w:spacing w:val="-16"/>
                <w:sz w:val="18"/>
              </w:rPr>
              <w:t xml:space="preserve"> 次。已</w:t>
            </w:r>
            <w:r>
              <w:rPr>
                <w:spacing w:val="-2"/>
                <w:sz w:val="18"/>
              </w:rPr>
              <w:t>完成全年绩效总体目标。资金使用情</w:t>
            </w:r>
            <w:r>
              <w:rPr>
                <w:spacing w:val="-6"/>
                <w:sz w:val="18"/>
              </w:rPr>
              <w:t xml:space="preserve">况：办公设备购置 </w:t>
            </w:r>
            <w:r>
              <w:rPr>
                <w:sz w:val="18"/>
              </w:rPr>
              <w:t>29960</w:t>
            </w:r>
            <w:r>
              <w:rPr>
                <w:spacing w:val="-11"/>
                <w:sz w:val="18"/>
              </w:rPr>
              <w:t xml:space="preserve"> 元、笔记本</w:t>
            </w:r>
          </w:p>
          <w:p>
            <w:pPr>
              <w:pStyle w:val="12"/>
              <w:spacing w:before="2"/>
              <w:ind w:left="163" w:right="155"/>
              <w:jc w:val="center"/>
              <w:rPr>
                <w:sz w:val="18"/>
              </w:rPr>
            </w:pPr>
            <w:r>
              <w:rPr>
                <w:spacing w:val="-6"/>
                <w:sz w:val="18"/>
              </w:rPr>
              <w:t xml:space="preserve">电脑及软件购置 </w:t>
            </w:r>
            <w:r>
              <w:rPr>
                <w:sz w:val="18"/>
              </w:rPr>
              <w:t>9464</w:t>
            </w:r>
            <w:r>
              <w:rPr>
                <w:spacing w:val="-8"/>
                <w:sz w:val="18"/>
              </w:rPr>
              <w:t xml:space="preserve"> 元、汽车租赁</w:t>
            </w:r>
          </w:p>
          <w:p>
            <w:pPr>
              <w:pStyle w:val="12"/>
              <w:spacing w:before="2"/>
              <w:ind w:left="163" w:right="155"/>
              <w:jc w:val="center"/>
              <w:rPr>
                <w:sz w:val="18"/>
              </w:rPr>
            </w:pPr>
            <w:r>
              <w:rPr>
                <w:sz w:val="18"/>
              </w:rPr>
              <w:t>11520</w:t>
            </w:r>
            <w:r>
              <w:rPr>
                <w:spacing w:val="-15"/>
                <w:sz w:val="18"/>
              </w:rPr>
              <w:t xml:space="preserve"> 元、差旅费 </w:t>
            </w:r>
            <w:r>
              <w:rPr>
                <w:sz w:val="18"/>
              </w:rPr>
              <w:t>48536</w:t>
            </w:r>
            <w:r>
              <w:rPr>
                <w:spacing w:val="-9"/>
                <w:sz w:val="18"/>
              </w:rPr>
              <w:t xml:space="preserve"> 元、固话费</w:t>
            </w:r>
          </w:p>
          <w:p>
            <w:pPr>
              <w:pStyle w:val="12"/>
              <w:spacing w:before="5" w:line="211" w:lineRule="exact"/>
              <w:ind w:left="163" w:right="153"/>
              <w:jc w:val="center"/>
              <w:rPr>
                <w:sz w:val="18"/>
              </w:rPr>
            </w:pPr>
            <w:r>
              <w:rPr>
                <w:sz w:val="18"/>
              </w:rPr>
              <w:t>480 元，总计 99960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786" w:type="dxa"/>
          </w:tcPr>
          <w:p>
            <w:pPr>
              <w:pStyle w:val="12"/>
              <w:rPr>
                <w:rFonts w:ascii="仿宋"/>
                <w:sz w:val="18"/>
              </w:rPr>
            </w:pPr>
          </w:p>
          <w:p>
            <w:pPr>
              <w:pStyle w:val="12"/>
              <w:spacing w:before="7"/>
              <w:rPr>
                <w:rFonts w:ascii="仿宋"/>
                <w:sz w:val="18"/>
              </w:rPr>
            </w:pPr>
          </w:p>
          <w:p>
            <w:pPr>
              <w:pStyle w:val="12"/>
              <w:spacing w:before="1" w:line="242" w:lineRule="auto"/>
              <w:ind w:left="302" w:right="111" w:hanging="180"/>
              <w:rPr>
                <w:sz w:val="18"/>
              </w:rPr>
            </w:pPr>
            <w:r>
              <w:rPr>
                <w:sz w:val="18"/>
              </w:rPr>
              <w:t>绩效指标</w:t>
            </w:r>
          </w:p>
        </w:tc>
        <w:tc>
          <w:tcPr>
            <w:tcW w:w="960" w:type="dxa"/>
          </w:tcPr>
          <w:p>
            <w:pPr>
              <w:pStyle w:val="12"/>
              <w:rPr>
                <w:rFonts w:ascii="仿宋"/>
                <w:sz w:val="18"/>
              </w:rPr>
            </w:pPr>
          </w:p>
          <w:p>
            <w:pPr>
              <w:pStyle w:val="12"/>
              <w:rPr>
                <w:rFonts w:ascii="仿宋"/>
                <w:sz w:val="18"/>
              </w:rPr>
            </w:pPr>
          </w:p>
          <w:p>
            <w:pPr>
              <w:pStyle w:val="12"/>
              <w:spacing w:before="123"/>
              <w:ind w:left="118"/>
              <w:rPr>
                <w:sz w:val="18"/>
              </w:rPr>
            </w:pPr>
            <w:r>
              <w:rPr>
                <w:sz w:val="18"/>
              </w:rPr>
              <w:t>一级指标</w:t>
            </w:r>
          </w:p>
        </w:tc>
        <w:tc>
          <w:tcPr>
            <w:tcW w:w="880" w:type="dxa"/>
          </w:tcPr>
          <w:p>
            <w:pPr>
              <w:pStyle w:val="12"/>
              <w:rPr>
                <w:rFonts w:ascii="仿宋"/>
                <w:sz w:val="18"/>
              </w:rPr>
            </w:pPr>
          </w:p>
          <w:p>
            <w:pPr>
              <w:pStyle w:val="12"/>
              <w:spacing w:before="7"/>
              <w:rPr>
                <w:rFonts w:ascii="仿宋"/>
                <w:sz w:val="18"/>
              </w:rPr>
            </w:pPr>
          </w:p>
          <w:p>
            <w:pPr>
              <w:pStyle w:val="12"/>
              <w:spacing w:before="1" w:line="242" w:lineRule="auto"/>
              <w:ind w:left="348" w:right="159" w:hanging="180"/>
              <w:rPr>
                <w:sz w:val="18"/>
              </w:rPr>
            </w:pPr>
            <w:r>
              <w:rPr>
                <w:sz w:val="18"/>
              </w:rPr>
              <w:t>二级指标</w:t>
            </w:r>
          </w:p>
        </w:tc>
        <w:tc>
          <w:tcPr>
            <w:tcW w:w="1075" w:type="dxa"/>
          </w:tcPr>
          <w:p>
            <w:pPr>
              <w:pStyle w:val="12"/>
              <w:rPr>
                <w:rFonts w:ascii="仿宋"/>
                <w:sz w:val="18"/>
              </w:rPr>
            </w:pPr>
          </w:p>
          <w:p>
            <w:pPr>
              <w:pStyle w:val="12"/>
              <w:rPr>
                <w:rFonts w:ascii="仿宋"/>
                <w:sz w:val="18"/>
              </w:rPr>
            </w:pPr>
          </w:p>
          <w:p>
            <w:pPr>
              <w:pStyle w:val="12"/>
              <w:spacing w:before="123"/>
              <w:ind w:left="220"/>
              <w:rPr>
                <w:sz w:val="18"/>
              </w:rPr>
            </w:pPr>
            <w:r>
              <w:rPr>
                <w:sz w:val="18"/>
              </w:rPr>
              <w:t>三级指标</w:t>
            </w:r>
          </w:p>
        </w:tc>
        <w:tc>
          <w:tcPr>
            <w:tcW w:w="870" w:type="dxa"/>
          </w:tcPr>
          <w:p>
            <w:pPr>
              <w:pStyle w:val="12"/>
              <w:rPr>
                <w:rFonts w:ascii="仿宋"/>
                <w:sz w:val="18"/>
              </w:rPr>
            </w:pPr>
          </w:p>
          <w:p>
            <w:pPr>
              <w:pStyle w:val="12"/>
              <w:spacing w:before="7"/>
              <w:rPr>
                <w:rFonts w:ascii="仿宋"/>
                <w:sz w:val="18"/>
              </w:rPr>
            </w:pPr>
          </w:p>
          <w:p>
            <w:pPr>
              <w:pStyle w:val="12"/>
              <w:spacing w:before="1" w:line="242" w:lineRule="auto"/>
              <w:ind w:left="300" w:right="112" w:hanging="180"/>
              <w:rPr>
                <w:sz w:val="18"/>
              </w:rPr>
            </w:pPr>
            <w:r>
              <w:rPr>
                <w:sz w:val="18"/>
              </w:rPr>
              <w:t>指标性质</w:t>
            </w:r>
          </w:p>
        </w:tc>
        <w:tc>
          <w:tcPr>
            <w:tcW w:w="400" w:type="dxa"/>
          </w:tcPr>
          <w:p>
            <w:pPr>
              <w:pStyle w:val="12"/>
              <w:spacing w:before="3"/>
              <w:rPr>
                <w:rFonts w:ascii="仿宋"/>
                <w:sz w:val="18"/>
              </w:rPr>
            </w:pPr>
          </w:p>
          <w:p>
            <w:pPr>
              <w:pStyle w:val="12"/>
              <w:spacing w:line="242" w:lineRule="auto"/>
              <w:ind w:left="108" w:right="99"/>
              <w:jc w:val="both"/>
              <w:rPr>
                <w:sz w:val="18"/>
              </w:rPr>
            </w:pPr>
            <w:r>
              <w:rPr>
                <w:sz w:val="18"/>
              </w:rPr>
              <w:t>指标方向</w:t>
            </w:r>
          </w:p>
        </w:tc>
        <w:tc>
          <w:tcPr>
            <w:tcW w:w="517" w:type="dxa"/>
          </w:tcPr>
          <w:p>
            <w:pPr>
              <w:pStyle w:val="12"/>
              <w:rPr>
                <w:rFonts w:ascii="仿宋"/>
                <w:sz w:val="18"/>
              </w:rPr>
            </w:pPr>
          </w:p>
          <w:p>
            <w:pPr>
              <w:pStyle w:val="12"/>
              <w:spacing w:before="121" w:line="242" w:lineRule="auto"/>
              <w:ind w:left="135" w:right="126"/>
              <w:jc w:val="both"/>
              <w:rPr>
                <w:sz w:val="18"/>
              </w:rPr>
            </w:pPr>
            <w:r>
              <w:rPr>
                <w:sz w:val="18"/>
              </w:rPr>
              <w:t>年度指标值</w:t>
            </w:r>
          </w:p>
        </w:tc>
        <w:tc>
          <w:tcPr>
            <w:tcW w:w="798" w:type="dxa"/>
          </w:tcPr>
          <w:p>
            <w:pPr>
              <w:pStyle w:val="12"/>
              <w:rPr>
                <w:rFonts w:ascii="仿宋"/>
                <w:sz w:val="18"/>
              </w:rPr>
            </w:pPr>
          </w:p>
          <w:p>
            <w:pPr>
              <w:pStyle w:val="12"/>
              <w:spacing w:before="121" w:line="242" w:lineRule="auto"/>
              <w:ind w:left="159" w:right="149"/>
              <w:jc w:val="both"/>
              <w:rPr>
                <w:sz w:val="18"/>
              </w:rPr>
            </w:pPr>
            <w:r>
              <w:rPr>
                <w:sz w:val="18"/>
              </w:rPr>
              <w:t>实际完成值</w:t>
            </w:r>
          </w:p>
        </w:tc>
        <w:tc>
          <w:tcPr>
            <w:tcW w:w="620" w:type="dxa"/>
          </w:tcPr>
          <w:p>
            <w:pPr>
              <w:pStyle w:val="12"/>
              <w:rPr>
                <w:rFonts w:ascii="仿宋"/>
                <w:sz w:val="18"/>
              </w:rPr>
            </w:pPr>
          </w:p>
          <w:p>
            <w:pPr>
              <w:pStyle w:val="12"/>
              <w:spacing w:before="7"/>
              <w:rPr>
                <w:rFonts w:ascii="仿宋"/>
                <w:sz w:val="18"/>
              </w:rPr>
            </w:pPr>
          </w:p>
          <w:p>
            <w:pPr>
              <w:pStyle w:val="12"/>
              <w:spacing w:before="1" w:line="242" w:lineRule="auto"/>
              <w:ind w:left="128" w:right="119"/>
              <w:rPr>
                <w:sz w:val="18"/>
              </w:rPr>
            </w:pPr>
            <w:r>
              <w:rPr>
                <w:sz w:val="18"/>
              </w:rPr>
              <w:t>计量单位</w:t>
            </w:r>
          </w:p>
        </w:tc>
        <w:tc>
          <w:tcPr>
            <w:tcW w:w="775" w:type="dxa"/>
          </w:tcPr>
          <w:p>
            <w:pPr>
              <w:pStyle w:val="12"/>
              <w:rPr>
                <w:rFonts w:ascii="仿宋"/>
                <w:sz w:val="18"/>
              </w:rPr>
            </w:pPr>
          </w:p>
          <w:p>
            <w:pPr>
              <w:pStyle w:val="12"/>
              <w:rPr>
                <w:rFonts w:ascii="仿宋"/>
                <w:sz w:val="18"/>
              </w:rPr>
            </w:pPr>
          </w:p>
          <w:p>
            <w:pPr>
              <w:pStyle w:val="12"/>
              <w:spacing w:before="123"/>
              <w:ind w:left="207"/>
              <w:rPr>
                <w:sz w:val="18"/>
              </w:rPr>
            </w:pPr>
            <w:r>
              <w:rPr>
                <w:sz w:val="18"/>
              </w:rPr>
              <w:t>分值</w:t>
            </w:r>
          </w:p>
        </w:tc>
        <w:tc>
          <w:tcPr>
            <w:tcW w:w="437" w:type="dxa"/>
          </w:tcPr>
          <w:p>
            <w:pPr>
              <w:pStyle w:val="12"/>
              <w:rPr>
                <w:rFonts w:ascii="仿宋"/>
                <w:sz w:val="18"/>
              </w:rPr>
            </w:pPr>
          </w:p>
          <w:p>
            <w:pPr>
              <w:pStyle w:val="12"/>
              <w:spacing w:before="7"/>
              <w:rPr>
                <w:rFonts w:ascii="仿宋"/>
                <w:sz w:val="18"/>
              </w:rPr>
            </w:pPr>
          </w:p>
          <w:p>
            <w:pPr>
              <w:pStyle w:val="12"/>
              <w:spacing w:before="1" w:line="242" w:lineRule="auto"/>
              <w:ind w:left="128" w:right="116"/>
              <w:rPr>
                <w:sz w:val="18"/>
              </w:rPr>
            </w:pPr>
            <w:r>
              <w:rPr>
                <w:sz w:val="18"/>
              </w:rPr>
              <w:t>得分</w:t>
            </w:r>
          </w:p>
        </w:tc>
        <w:tc>
          <w:tcPr>
            <w:tcW w:w="666" w:type="dxa"/>
          </w:tcPr>
          <w:p>
            <w:pPr>
              <w:pStyle w:val="12"/>
              <w:spacing w:before="1" w:line="242" w:lineRule="auto"/>
              <w:ind w:left="106" w:right="187"/>
              <w:jc w:val="both"/>
              <w:rPr>
                <w:sz w:val="18"/>
              </w:rPr>
            </w:pPr>
            <w:r>
              <w:rPr>
                <w:sz w:val="18"/>
              </w:rPr>
              <w:t>偏差原因分析及改进措</w:t>
            </w:r>
          </w:p>
          <w:p>
            <w:pPr>
              <w:pStyle w:val="12"/>
              <w:spacing w:before="4" w:line="209" w:lineRule="exact"/>
              <w:ind w:left="106"/>
              <w:rPr>
                <w:sz w:val="18"/>
              </w:rPr>
            </w:pPr>
            <w:r>
              <w:rPr>
                <w:sz w:val="18"/>
              </w:rPr>
              <w:t>施</w:t>
            </w:r>
          </w:p>
        </w:tc>
      </w:tr>
    </w:tbl>
    <w:p>
      <w:pPr>
        <w:spacing w:after="0" w:line="209" w:lineRule="exact"/>
        <w:rPr>
          <w:sz w:val="18"/>
        </w:rPr>
        <w:sectPr>
          <w:pgSz w:w="11920" w:h="16860"/>
          <w:pgMar w:top="1520" w:right="380" w:bottom="280" w:left="1660" w:header="720" w:footer="720" w:gutter="0"/>
          <w:pgBorders>
            <w:top w:val="none" w:sz="0" w:space="0"/>
            <w:left w:val="none" w:sz="0" w:space="0"/>
            <w:bottom w:val="none" w:sz="0" w:space="0"/>
            <w:right w:val="none" w:sz="0" w:space="0"/>
          </w:pgBorders>
          <w:cols w:space="720" w:num="1"/>
        </w:sectPr>
      </w:pPr>
    </w:p>
    <w:tbl>
      <w:tblPr>
        <w:tblStyle w:val="8"/>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6"/>
        <w:gridCol w:w="960"/>
        <w:gridCol w:w="880"/>
        <w:gridCol w:w="1160"/>
        <w:gridCol w:w="785"/>
        <w:gridCol w:w="400"/>
        <w:gridCol w:w="634"/>
        <w:gridCol w:w="681"/>
        <w:gridCol w:w="620"/>
        <w:gridCol w:w="775"/>
        <w:gridCol w:w="437"/>
        <w:gridCol w:w="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86" w:type="dxa"/>
            <w:vMerge w:val="restart"/>
          </w:tcPr>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spacing w:before="5"/>
              <w:rPr>
                <w:rFonts w:ascii="仿宋"/>
                <w:sz w:val="24"/>
              </w:rPr>
            </w:pPr>
          </w:p>
          <w:p>
            <w:pPr>
              <w:pStyle w:val="12"/>
              <w:spacing w:before="1" w:line="242" w:lineRule="auto"/>
              <w:ind w:left="302" w:right="111" w:hanging="180"/>
              <w:rPr>
                <w:sz w:val="18"/>
              </w:rPr>
            </w:pPr>
            <w:r>
              <w:rPr>
                <w:sz w:val="18"/>
              </w:rPr>
              <w:t>绩效指标</w:t>
            </w:r>
          </w:p>
        </w:tc>
        <w:tc>
          <w:tcPr>
            <w:tcW w:w="960" w:type="dxa"/>
            <w:vMerge w:val="restart"/>
          </w:tcPr>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spacing w:before="4"/>
              <w:rPr>
                <w:rFonts w:ascii="仿宋"/>
                <w:sz w:val="25"/>
              </w:rPr>
            </w:pPr>
          </w:p>
          <w:p>
            <w:pPr>
              <w:pStyle w:val="12"/>
              <w:ind w:left="118"/>
              <w:rPr>
                <w:sz w:val="18"/>
              </w:rPr>
            </w:pPr>
            <w:r>
              <w:rPr>
                <w:sz w:val="18"/>
              </w:rPr>
              <w:t>产出指标</w:t>
            </w:r>
          </w:p>
        </w:tc>
        <w:tc>
          <w:tcPr>
            <w:tcW w:w="880" w:type="dxa"/>
            <w:vMerge w:val="restart"/>
          </w:tcPr>
          <w:p>
            <w:pPr>
              <w:pStyle w:val="12"/>
              <w:rPr>
                <w:rFonts w:ascii="仿宋"/>
                <w:sz w:val="18"/>
              </w:rPr>
            </w:pPr>
          </w:p>
          <w:p>
            <w:pPr>
              <w:pStyle w:val="12"/>
              <w:rPr>
                <w:rFonts w:ascii="仿宋"/>
                <w:sz w:val="18"/>
              </w:rPr>
            </w:pPr>
          </w:p>
          <w:p>
            <w:pPr>
              <w:pStyle w:val="12"/>
              <w:spacing w:before="151" w:line="242" w:lineRule="auto"/>
              <w:ind w:left="348" w:right="159" w:hanging="180"/>
              <w:rPr>
                <w:sz w:val="18"/>
              </w:rPr>
            </w:pPr>
            <w:r>
              <w:rPr>
                <w:sz w:val="18"/>
              </w:rPr>
              <w:t>数量指标</w:t>
            </w:r>
          </w:p>
        </w:tc>
        <w:tc>
          <w:tcPr>
            <w:tcW w:w="1160" w:type="dxa"/>
          </w:tcPr>
          <w:p>
            <w:pPr>
              <w:pStyle w:val="12"/>
              <w:spacing w:before="8"/>
              <w:rPr>
                <w:rFonts w:ascii="仿宋"/>
                <w:sz w:val="14"/>
              </w:rPr>
            </w:pPr>
          </w:p>
          <w:p>
            <w:pPr>
              <w:pStyle w:val="12"/>
              <w:spacing w:line="242" w:lineRule="auto"/>
              <w:ind w:left="488" w:right="119" w:hanging="360"/>
              <w:rPr>
                <w:sz w:val="18"/>
              </w:rPr>
            </w:pPr>
            <w:r>
              <w:rPr>
                <w:sz w:val="18"/>
              </w:rPr>
              <w:t>旗县市区数量</w:t>
            </w:r>
          </w:p>
        </w:tc>
        <w:tc>
          <w:tcPr>
            <w:tcW w:w="785" w:type="dxa"/>
          </w:tcPr>
          <w:p>
            <w:pPr>
              <w:pStyle w:val="12"/>
              <w:spacing w:before="10"/>
              <w:rPr>
                <w:rFonts w:ascii="仿宋"/>
                <w:sz w:val="23"/>
              </w:rPr>
            </w:pPr>
          </w:p>
          <w:p>
            <w:pPr>
              <w:pStyle w:val="12"/>
              <w:spacing w:before="1"/>
              <w:ind w:left="192" w:right="183"/>
              <w:jc w:val="center"/>
              <w:rPr>
                <w:sz w:val="18"/>
              </w:rPr>
            </w:pPr>
            <w:r>
              <w:rPr>
                <w:sz w:val="18"/>
              </w:rPr>
              <w:t>定性</w:t>
            </w:r>
          </w:p>
        </w:tc>
        <w:tc>
          <w:tcPr>
            <w:tcW w:w="400" w:type="dxa"/>
          </w:tcPr>
          <w:p>
            <w:pPr>
              <w:pStyle w:val="12"/>
              <w:rPr>
                <w:rFonts w:ascii="Times New Roman"/>
                <w:sz w:val="18"/>
              </w:rPr>
            </w:pPr>
          </w:p>
        </w:tc>
        <w:tc>
          <w:tcPr>
            <w:tcW w:w="634" w:type="dxa"/>
          </w:tcPr>
          <w:p>
            <w:pPr>
              <w:pStyle w:val="12"/>
              <w:spacing w:before="10"/>
              <w:rPr>
                <w:rFonts w:ascii="仿宋"/>
                <w:sz w:val="23"/>
              </w:rPr>
            </w:pPr>
          </w:p>
          <w:p>
            <w:pPr>
              <w:pStyle w:val="12"/>
              <w:spacing w:before="1"/>
              <w:ind w:left="116" w:right="105"/>
              <w:jc w:val="center"/>
              <w:rPr>
                <w:sz w:val="18"/>
              </w:rPr>
            </w:pPr>
            <w:r>
              <w:rPr>
                <w:sz w:val="18"/>
              </w:rPr>
              <w:t>13</w:t>
            </w:r>
          </w:p>
        </w:tc>
        <w:tc>
          <w:tcPr>
            <w:tcW w:w="681" w:type="dxa"/>
          </w:tcPr>
          <w:p>
            <w:pPr>
              <w:pStyle w:val="12"/>
              <w:spacing w:before="10"/>
              <w:rPr>
                <w:rFonts w:ascii="仿宋"/>
                <w:sz w:val="23"/>
              </w:rPr>
            </w:pPr>
          </w:p>
          <w:p>
            <w:pPr>
              <w:pStyle w:val="12"/>
              <w:spacing w:before="1"/>
              <w:ind w:right="237"/>
              <w:jc w:val="right"/>
              <w:rPr>
                <w:sz w:val="18"/>
              </w:rPr>
            </w:pPr>
            <w:r>
              <w:rPr>
                <w:sz w:val="18"/>
              </w:rPr>
              <w:t>13</w:t>
            </w:r>
          </w:p>
        </w:tc>
        <w:tc>
          <w:tcPr>
            <w:tcW w:w="620" w:type="dxa"/>
          </w:tcPr>
          <w:p>
            <w:pPr>
              <w:pStyle w:val="12"/>
              <w:rPr>
                <w:rFonts w:ascii="Times New Roman"/>
                <w:sz w:val="18"/>
              </w:rPr>
            </w:pPr>
          </w:p>
        </w:tc>
        <w:tc>
          <w:tcPr>
            <w:tcW w:w="775" w:type="dxa"/>
          </w:tcPr>
          <w:p>
            <w:pPr>
              <w:pStyle w:val="12"/>
              <w:spacing w:before="10"/>
              <w:rPr>
                <w:rFonts w:ascii="仿宋"/>
                <w:sz w:val="23"/>
              </w:rPr>
            </w:pPr>
          </w:p>
          <w:p>
            <w:pPr>
              <w:pStyle w:val="12"/>
              <w:spacing w:before="1"/>
              <w:ind w:left="8"/>
              <w:jc w:val="center"/>
              <w:rPr>
                <w:sz w:val="18"/>
              </w:rPr>
            </w:pPr>
            <w:r>
              <w:rPr>
                <w:sz w:val="18"/>
              </w:rPr>
              <w:t>8</w:t>
            </w:r>
          </w:p>
        </w:tc>
        <w:tc>
          <w:tcPr>
            <w:tcW w:w="437" w:type="dxa"/>
          </w:tcPr>
          <w:p>
            <w:pPr>
              <w:pStyle w:val="12"/>
              <w:spacing w:before="10"/>
              <w:rPr>
                <w:rFonts w:ascii="仿宋"/>
                <w:sz w:val="23"/>
              </w:rPr>
            </w:pPr>
          </w:p>
          <w:p>
            <w:pPr>
              <w:pStyle w:val="12"/>
              <w:spacing w:before="1"/>
              <w:ind w:left="6"/>
              <w:jc w:val="center"/>
              <w:rPr>
                <w:sz w:val="18"/>
              </w:rPr>
            </w:pPr>
            <w:r>
              <w:rPr>
                <w:sz w:val="18"/>
              </w:rPr>
              <w:t>8</w:t>
            </w:r>
          </w:p>
        </w:tc>
        <w:tc>
          <w:tcPr>
            <w:tcW w:w="666" w:type="dxa"/>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86" w:type="dxa"/>
            <w:vMerge w:val="continue"/>
            <w:tcBorders>
              <w:top w:val="nil"/>
            </w:tcBorders>
          </w:tcPr>
          <w:p>
            <w:pPr>
              <w:rPr>
                <w:sz w:val="2"/>
                <w:szCs w:val="2"/>
              </w:rPr>
            </w:pPr>
          </w:p>
        </w:tc>
        <w:tc>
          <w:tcPr>
            <w:tcW w:w="960" w:type="dxa"/>
            <w:vMerge w:val="continue"/>
            <w:tcBorders>
              <w:top w:val="nil"/>
            </w:tcBorders>
          </w:tcPr>
          <w:p>
            <w:pPr>
              <w:rPr>
                <w:sz w:val="2"/>
                <w:szCs w:val="2"/>
              </w:rPr>
            </w:pPr>
          </w:p>
        </w:tc>
        <w:tc>
          <w:tcPr>
            <w:tcW w:w="880" w:type="dxa"/>
            <w:vMerge w:val="continue"/>
            <w:tcBorders>
              <w:top w:val="nil"/>
            </w:tcBorders>
          </w:tcPr>
          <w:p>
            <w:pPr>
              <w:rPr>
                <w:sz w:val="2"/>
                <w:szCs w:val="2"/>
              </w:rPr>
            </w:pPr>
          </w:p>
        </w:tc>
        <w:tc>
          <w:tcPr>
            <w:tcW w:w="1160" w:type="dxa"/>
          </w:tcPr>
          <w:p>
            <w:pPr>
              <w:pStyle w:val="12"/>
              <w:spacing w:before="8"/>
              <w:rPr>
                <w:rFonts w:ascii="仿宋"/>
                <w:sz w:val="14"/>
              </w:rPr>
            </w:pPr>
          </w:p>
          <w:p>
            <w:pPr>
              <w:pStyle w:val="12"/>
              <w:spacing w:line="242" w:lineRule="auto"/>
              <w:ind w:left="400" w:right="119" w:hanging="272"/>
              <w:rPr>
                <w:sz w:val="18"/>
              </w:rPr>
            </w:pPr>
            <w:r>
              <w:rPr>
                <w:sz w:val="18"/>
              </w:rPr>
              <w:t>嘎查村分场数量</w:t>
            </w:r>
          </w:p>
        </w:tc>
        <w:tc>
          <w:tcPr>
            <w:tcW w:w="785" w:type="dxa"/>
          </w:tcPr>
          <w:p>
            <w:pPr>
              <w:pStyle w:val="12"/>
              <w:spacing w:before="10"/>
              <w:rPr>
                <w:rFonts w:ascii="仿宋"/>
                <w:sz w:val="23"/>
              </w:rPr>
            </w:pPr>
          </w:p>
          <w:p>
            <w:pPr>
              <w:pStyle w:val="12"/>
              <w:ind w:left="192" w:right="183"/>
              <w:jc w:val="center"/>
              <w:rPr>
                <w:sz w:val="18"/>
              </w:rPr>
            </w:pPr>
            <w:r>
              <w:rPr>
                <w:sz w:val="18"/>
              </w:rPr>
              <w:t>定性</w:t>
            </w:r>
          </w:p>
        </w:tc>
        <w:tc>
          <w:tcPr>
            <w:tcW w:w="400" w:type="dxa"/>
          </w:tcPr>
          <w:p>
            <w:pPr>
              <w:pStyle w:val="12"/>
              <w:rPr>
                <w:rFonts w:ascii="Times New Roman"/>
                <w:sz w:val="18"/>
              </w:rPr>
            </w:pPr>
          </w:p>
        </w:tc>
        <w:tc>
          <w:tcPr>
            <w:tcW w:w="634" w:type="dxa"/>
          </w:tcPr>
          <w:p>
            <w:pPr>
              <w:pStyle w:val="12"/>
              <w:spacing w:before="10"/>
              <w:rPr>
                <w:rFonts w:ascii="仿宋"/>
                <w:sz w:val="23"/>
              </w:rPr>
            </w:pPr>
          </w:p>
          <w:p>
            <w:pPr>
              <w:pStyle w:val="12"/>
              <w:ind w:left="116" w:right="107"/>
              <w:jc w:val="center"/>
              <w:rPr>
                <w:sz w:val="18"/>
              </w:rPr>
            </w:pPr>
            <w:r>
              <w:rPr>
                <w:sz w:val="18"/>
              </w:rPr>
              <w:t>150</w:t>
            </w:r>
          </w:p>
        </w:tc>
        <w:tc>
          <w:tcPr>
            <w:tcW w:w="681" w:type="dxa"/>
          </w:tcPr>
          <w:p>
            <w:pPr>
              <w:pStyle w:val="12"/>
              <w:spacing w:before="10"/>
              <w:rPr>
                <w:rFonts w:ascii="仿宋"/>
                <w:sz w:val="23"/>
              </w:rPr>
            </w:pPr>
          </w:p>
          <w:p>
            <w:pPr>
              <w:pStyle w:val="12"/>
              <w:ind w:right="193"/>
              <w:jc w:val="right"/>
              <w:rPr>
                <w:sz w:val="18"/>
              </w:rPr>
            </w:pPr>
            <w:r>
              <w:rPr>
                <w:sz w:val="18"/>
              </w:rPr>
              <w:t>150</w:t>
            </w:r>
          </w:p>
        </w:tc>
        <w:tc>
          <w:tcPr>
            <w:tcW w:w="620" w:type="dxa"/>
          </w:tcPr>
          <w:p>
            <w:pPr>
              <w:pStyle w:val="12"/>
              <w:rPr>
                <w:rFonts w:ascii="Times New Roman"/>
                <w:sz w:val="18"/>
              </w:rPr>
            </w:pPr>
          </w:p>
        </w:tc>
        <w:tc>
          <w:tcPr>
            <w:tcW w:w="775" w:type="dxa"/>
          </w:tcPr>
          <w:p>
            <w:pPr>
              <w:pStyle w:val="12"/>
              <w:spacing w:before="10"/>
              <w:rPr>
                <w:rFonts w:ascii="仿宋"/>
                <w:sz w:val="23"/>
              </w:rPr>
            </w:pPr>
          </w:p>
          <w:p>
            <w:pPr>
              <w:pStyle w:val="12"/>
              <w:ind w:left="8"/>
              <w:jc w:val="center"/>
              <w:rPr>
                <w:sz w:val="18"/>
              </w:rPr>
            </w:pPr>
            <w:r>
              <w:rPr>
                <w:sz w:val="18"/>
              </w:rPr>
              <w:t>8</w:t>
            </w:r>
          </w:p>
        </w:tc>
        <w:tc>
          <w:tcPr>
            <w:tcW w:w="437" w:type="dxa"/>
          </w:tcPr>
          <w:p>
            <w:pPr>
              <w:pStyle w:val="12"/>
              <w:spacing w:before="10"/>
              <w:rPr>
                <w:rFonts w:ascii="仿宋"/>
                <w:sz w:val="23"/>
              </w:rPr>
            </w:pPr>
          </w:p>
          <w:p>
            <w:pPr>
              <w:pStyle w:val="12"/>
              <w:ind w:left="6"/>
              <w:jc w:val="center"/>
              <w:rPr>
                <w:sz w:val="18"/>
              </w:rPr>
            </w:pPr>
            <w:r>
              <w:rPr>
                <w:sz w:val="18"/>
              </w:rPr>
              <w:t>8</w:t>
            </w:r>
          </w:p>
        </w:tc>
        <w:tc>
          <w:tcPr>
            <w:tcW w:w="666" w:type="dxa"/>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86" w:type="dxa"/>
            <w:vMerge w:val="continue"/>
            <w:tcBorders>
              <w:top w:val="nil"/>
            </w:tcBorders>
          </w:tcPr>
          <w:p>
            <w:pPr>
              <w:rPr>
                <w:sz w:val="2"/>
                <w:szCs w:val="2"/>
              </w:rPr>
            </w:pPr>
          </w:p>
        </w:tc>
        <w:tc>
          <w:tcPr>
            <w:tcW w:w="960" w:type="dxa"/>
            <w:vMerge w:val="continue"/>
            <w:tcBorders>
              <w:top w:val="nil"/>
            </w:tcBorders>
          </w:tcPr>
          <w:p>
            <w:pPr>
              <w:rPr>
                <w:sz w:val="2"/>
                <w:szCs w:val="2"/>
              </w:rPr>
            </w:pPr>
          </w:p>
        </w:tc>
        <w:tc>
          <w:tcPr>
            <w:tcW w:w="880" w:type="dxa"/>
          </w:tcPr>
          <w:p>
            <w:pPr>
              <w:pStyle w:val="12"/>
              <w:spacing w:before="67" w:line="242" w:lineRule="auto"/>
              <w:ind w:left="348" w:right="159" w:hanging="180"/>
              <w:rPr>
                <w:sz w:val="18"/>
              </w:rPr>
            </w:pPr>
            <w:r>
              <w:rPr>
                <w:sz w:val="18"/>
              </w:rPr>
              <w:t>质量指标</w:t>
            </w:r>
          </w:p>
        </w:tc>
        <w:tc>
          <w:tcPr>
            <w:tcW w:w="1160" w:type="dxa"/>
          </w:tcPr>
          <w:p>
            <w:pPr>
              <w:pStyle w:val="12"/>
              <w:spacing w:before="67" w:line="242" w:lineRule="auto"/>
              <w:ind w:left="220" w:right="119" w:hanging="92"/>
              <w:rPr>
                <w:sz w:val="18"/>
              </w:rPr>
            </w:pPr>
            <w:r>
              <w:rPr>
                <w:sz w:val="18"/>
              </w:rPr>
              <w:t>全盟卫生户厕覆盖率</w:t>
            </w:r>
          </w:p>
        </w:tc>
        <w:tc>
          <w:tcPr>
            <w:tcW w:w="785" w:type="dxa"/>
          </w:tcPr>
          <w:p>
            <w:pPr>
              <w:pStyle w:val="12"/>
              <w:spacing w:before="5"/>
              <w:rPr>
                <w:rFonts w:ascii="仿宋"/>
                <w:sz w:val="14"/>
              </w:rPr>
            </w:pPr>
          </w:p>
          <w:p>
            <w:pPr>
              <w:pStyle w:val="12"/>
              <w:ind w:left="192" w:right="183"/>
              <w:jc w:val="center"/>
              <w:rPr>
                <w:sz w:val="18"/>
              </w:rPr>
            </w:pPr>
            <w:r>
              <w:rPr>
                <w:sz w:val="18"/>
              </w:rPr>
              <w:t>定性</w:t>
            </w:r>
          </w:p>
        </w:tc>
        <w:tc>
          <w:tcPr>
            <w:tcW w:w="400" w:type="dxa"/>
          </w:tcPr>
          <w:p>
            <w:pPr>
              <w:pStyle w:val="12"/>
              <w:rPr>
                <w:rFonts w:ascii="Times New Roman"/>
                <w:sz w:val="18"/>
              </w:rPr>
            </w:pPr>
          </w:p>
        </w:tc>
        <w:tc>
          <w:tcPr>
            <w:tcW w:w="634" w:type="dxa"/>
          </w:tcPr>
          <w:p>
            <w:pPr>
              <w:pStyle w:val="12"/>
              <w:spacing w:before="5"/>
              <w:rPr>
                <w:rFonts w:ascii="仿宋"/>
                <w:sz w:val="14"/>
              </w:rPr>
            </w:pPr>
          </w:p>
          <w:p>
            <w:pPr>
              <w:pStyle w:val="12"/>
              <w:ind w:left="116" w:right="107"/>
              <w:jc w:val="center"/>
              <w:rPr>
                <w:sz w:val="18"/>
              </w:rPr>
            </w:pPr>
            <w:r>
              <w:rPr>
                <w:sz w:val="18"/>
              </w:rPr>
              <w:t>100%</w:t>
            </w:r>
          </w:p>
        </w:tc>
        <w:tc>
          <w:tcPr>
            <w:tcW w:w="681" w:type="dxa"/>
          </w:tcPr>
          <w:p>
            <w:pPr>
              <w:pStyle w:val="12"/>
              <w:spacing w:before="5"/>
              <w:rPr>
                <w:rFonts w:ascii="仿宋"/>
                <w:sz w:val="14"/>
              </w:rPr>
            </w:pPr>
          </w:p>
          <w:p>
            <w:pPr>
              <w:pStyle w:val="12"/>
              <w:ind w:right="148"/>
              <w:jc w:val="right"/>
              <w:rPr>
                <w:sz w:val="18"/>
              </w:rPr>
            </w:pPr>
            <w:r>
              <w:rPr>
                <w:sz w:val="18"/>
              </w:rPr>
              <w:t>100%</w:t>
            </w:r>
          </w:p>
        </w:tc>
        <w:tc>
          <w:tcPr>
            <w:tcW w:w="620" w:type="dxa"/>
          </w:tcPr>
          <w:p>
            <w:pPr>
              <w:pStyle w:val="12"/>
              <w:rPr>
                <w:rFonts w:ascii="Times New Roman"/>
                <w:sz w:val="18"/>
              </w:rPr>
            </w:pPr>
          </w:p>
        </w:tc>
        <w:tc>
          <w:tcPr>
            <w:tcW w:w="775" w:type="dxa"/>
          </w:tcPr>
          <w:p>
            <w:pPr>
              <w:pStyle w:val="12"/>
              <w:spacing w:before="5"/>
              <w:rPr>
                <w:rFonts w:ascii="仿宋"/>
                <w:sz w:val="14"/>
              </w:rPr>
            </w:pPr>
          </w:p>
          <w:p>
            <w:pPr>
              <w:pStyle w:val="12"/>
              <w:ind w:left="230" w:right="222"/>
              <w:jc w:val="center"/>
              <w:rPr>
                <w:sz w:val="18"/>
              </w:rPr>
            </w:pPr>
            <w:r>
              <w:rPr>
                <w:sz w:val="18"/>
              </w:rPr>
              <w:t>10</w:t>
            </w:r>
          </w:p>
        </w:tc>
        <w:tc>
          <w:tcPr>
            <w:tcW w:w="437" w:type="dxa"/>
          </w:tcPr>
          <w:p>
            <w:pPr>
              <w:pStyle w:val="12"/>
              <w:spacing w:before="5"/>
              <w:rPr>
                <w:rFonts w:ascii="仿宋"/>
                <w:sz w:val="14"/>
              </w:rPr>
            </w:pPr>
          </w:p>
          <w:p>
            <w:pPr>
              <w:pStyle w:val="12"/>
              <w:ind w:left="108" w:right="98"/>
              <w:jc w:val="center"/>
              <w:rPr>
                <w:sz w:val="18"/>
              </w:rPr>
            </w:pPr>
            <w:r>
              <w:rPr>
                <w:sz w:val="18"/>
              </w:rPr>
              <w:t>10</w:t>
            </w:r>
          </w:p>
        </w:tc>
        <w:tc>
          <w:tcPr>
            <w:tcW w:w="666" w:type="dxa"/>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86" w:type="dxa"/>
            <w:vMerge w:val="continue"/>
            <w:tcBorders>
              <w:top w:val="nil"/>
            </w:tcBorders>
          </w:tcPr>
          <w:p>
            <w:pPr>
              <w:rPr>
                <w:sz w:val="2"/>
                <w:szCs w:val="2"/>
              </w:rPr>
            </w:pPr>
          </w:p>
        </w:tc>
        <w:tc>
          <w:tcPr>
            <w:tcW w:w="960" w:type="dxa"/>
            <w:vMerge w:val="continue"/>
            <w:tcBorders>
              <w:top w:val="nil"/>
            </w:tcBorders>
          </w:tcPr>
          <w:p>
            <w:pPr>
              <w:rPr>
                <w:sz w:val="2"/>
                <w:szCs w:val="2"/>
              </w:rPr>
            </w:pPr>
          </w:p>
        </w:tc>
        <w:tc>
          <w:tcPr>
            <w:tcW w:w="880" w:type="dxa"/>
          </w:tcPr>
          <w:p>
            <w:pPr>
              <w:pStyle w:val="12"/>
              <w:spacing w:before="38" w:line="242" w:lineRule="auto"/>
              <w:ind w:left="348" w:right="159" w:hanging="180"/>
              <w:rPr>
                <w:sz w:val="18"/>
              </w:rPr>
            </w:pPr>
            <w:r>
              <w:rPr>
                <w:sz w:val="18"/>
              </w:rPr>
              <w:t>时效指标</w:t>
            </w:r>
          </w:p>
        </w:tc>
        <w:tc>
          <w:tcPr>
            <w:tcW w:w="1160" w:type="dxa"/>
          </w:tcPr>
          <w:p>
            <w:pPr>
              <w:pStyle w:val="12"/>
              <w:spacing w:before="155"/>
              <w:ind w:left="108" w:right="98"/>
              <w:jc w:val="center"/>
              <w:rPr>
                <w:sz w:val="18"/>
              </w:rPr>
            </w:pPr>
            <w:r>
              <w:rPr>
                <w:sz w:val="18"/>
              </w:rPr>
              <w:t>完成时间</w:t>
            </w:r>
          </w:p>
        </w:tc>
        <w:tc>
          <w:tcPr>
            <w:tcW w:w="785" w:type="dxa"/>
          </w:tcPr>
          <w:p>
            <w:pPr>
              <w:pStyle w:val="12"/>
              <w:spacing w:before="155"/>
              <w:ind w:left="192" w:right="183"/>
              <w:jc w:val="center"/>
              <w:rPr>
                <w:sz w:val="18"/>
              </w:rPr>
            </w:pPr>
            <w:r>
              <w:rPr>
                <w:sz w:val="18"/>
              </w:rPr>
              <w:t>定性</w:t>
            </w:r>
          </w:p>
        </w:tc>
        <w:tc>
          <w:tcPr>
            <w:tcW w:w="400" w:type="dxa"/>
          </w:tcPr>
          <w:p>
            <w:pPr>
              <w:pStyle w:val="12"/>
              <w:rPr>
                <w:rFonts w:ascii="Times New Roman"/>
                <w:sz w:val="18"/>
              </w:rPr>
            </w:pPr>
          </w:p>
        </w:tc>
        <w:tc>
          <w:tcPr>
            <w:tcW w:w="634" w:type="dxa"/>
          </w:tcPr>
          <w:p>
            <w:pPr>
              <w:pStyle w:val="12"/>
              <w:spacing w:before="38"/>
              <w:ind w:left="135"/>
              <w:rPr>
                <w:sz w:val="18"/>
              </w:rPr>
            </w:pPr>
            <w:r>
              <w:rPr>
                <w:sz w:val="18"/>
              </w:rPr>
              <w:t>2022</w:t>
            </w:r>
          </w:p>
          <w:p>
            <w:pPr>
              <w:pStyle w:val="12"/>
              <w:spacing w:before="2"/>
              <w:ind w:left="135"/>
              <w:rPr>
                <w:sz w:val="18"/>
              </w:rPr>
            </w:pPr>
            <w:r>
              <w:rPr>
                <w:sz w:val="18"/>
              </w:rPr>
              <w:t>年底</w:t>
            </w:r>
          </w:p>
        </w:tc>
        <w:tc>
          <w:tcPr>
            <w:tcW w:w="681" w:type="dxa"/>
          </w:tcPr>
          <w:p>
            <w:pPr>
              <w:pStyle w:val="12"/>
              <w:spacing w:before="38"/>
              <w:ind w:left="159"/>
              <w:rPr>
                <w:sz w:val="18"/>
              </w:rPr>
            </w:pPr>
            <w:r>
              <w:rPr>
                <w:sz w:val="18"/>
              </w:rPr>
              <w:t>2022</w:t>
            </w:r>
          </w:p>
          <w:p>
            <w:pPr>
              <w:pStyle w:val="12"/>
              <w:spacing w:before="2"/>
              <w:ind w:left="159"/>
              <w:rPr>
                <w:sz w:val="18"/>
              </w:rPr>
            </w:pPr>
            <w:r>
              <w:rPr>
                <w:sz w:val="18"/>
              </w:rPr>
              <w:t>年底</w:t>
            </w:r>
          </w:p>
        </w:tc>
        <w:tc>
          <w:tcPr>
            <w:tcW w:w="620" w:type="dxa"/>
          </w:tcPr>
          <w:p>
            <w:pPr>
              <w:pStyle w:val="12"/>
              <w:rPr>
                <w:rFonts w:ascii="Times New Roman"/>
                <w:sz w:val="18"/>
              </w:rPr>
            </w:pPr>
          </w:p>
        </w:tc>
        <w:tc>
          <w:tcPr>
            <w:tcW w:w="775" w:type="dxa"/>
          </w:tcPr>
          <w:p>
            <w:pPr>
              <w:pStyle w:val="12"/>
              <w:spacing w:before="155"/>
              <w:ind w:left="8"/>
              <w:jc w:val="center"/>
              <w:rPr>
                <w:sz w:val="18"/>
              </w:rPr>
            </w:pPr>
            <w:r>
              <w:rPr>
                <w:sz w:val="18"/>
              </w:rPr>
              <w:t>9</w:t>
            </w:r>
          </w:p>
        </w:tc>
        <w:tc>
          <w:tcPr>
            <w:tcW w:w="437" w:type="dxa"/>
          </w:tcPr>
          <w:p>
            <w:pPr>
              <w:pStyle w:val="12"/>
              <w:spacing w:before="155"/>
              <w:ind w:left="6"/>
              <w:jc w:val="center"/>
              <w:rPr>
                <w:sz w:val="18"/>
              </w:rPr>
            </w:pPr>
            <w:r>
              <w:rPr>
                <w:sz w:val="18"/>
              </w:rPr>
              <w:t>9</w:t>
            </w:r>
          </w:p>
        </w:tc>
        <w:tc>
          <w:tcPr>
            <w:tcW w:w="666" w:type="dxa"/>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86" w:type="dxa"/>
            <w:vMerge w:val="continue"/>
            <w:tcBorders>
              <w:top w:val="nil"/>
            </w:tcBorders>
          </w:tcPr>
          <w:p>
            <w:pPr>
              <w:rPr>
                <w:sz w:val="2"/>
                <w:szCs w:val="2"/>
              </w:rPr>
            </w:pPr>
          </w:p>
        </w:tc>
        <w:tc>
          <w:tcPr>
            <w:tcW w:w="960" w:type="dxa"/>
            <w:vMerge w:val="continue"/>
            <w:tcBorders>
              <w:top w:val="nil"/>
            </w:tcBorders>
          </w:tcPr>
          <w:p>
            <w:pPr>
              <w:rPr>
                <w:sz w:val="2"/>
                <w:szCs w:val="2"/>
              </w:rPr>
            </w:pPr>
          </w:p>
        </w:tc>
        <w:tc>
          <w:tcPr>
            <w:tcW w:w="880" w:type="dxa"/>
            <w:vMerge w:val="restart"/>
          </w:tcPr>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spacing w:before="161" w:line="244" w:lineRule="auto"/>
              <w:ind w:left="348" w:right="159" w:hanging="180"/>
              <w:rPr>
                <w:sz w:val="18"/>
              </w:rPr>
            </w:pPr>
            <w:r>
              <w:rPr>
                <w:sz w:val="18"/>
              </w:rPr>
              <w:t>成本指标</w:t>
            </w:r>
          </w:p>
        </w:tc>
        <w:tc>
          <w:tcPr>
            <w:tcW w:w="1160" w:type="dxa"/>
          </w:tcPr>
          <w:p>
            <w:pPr>
              <w:pStyle w:val="12"/>
              <w:spacing w:before="9"/>
              <w:rPr>
                <w:rFonts w:ascii="仿宋"/>
                <w:sz w:val="23"/>
              </w:rPr>
            </w:pPr>
          </w:p>
          <w:p>
            <w:pPr>
              <w:pStyle w:val="12"/>
              <w:ind w:left="108" w:right="101"/>
              <w:jc w:val="center"/>
              <w:rPr>
                <w:sz w:val="18"/>
              </w:rPr>
            </w:pPr>
            <w:r>
              <w:rPr>
                <w:sz w:val="18"/>
              </w:rPr>
              <w:t>差旅费</w:t>
            </w:r>
          </w:p>
        </w:tc>
        <w:tc>
          <w:tcPr>
            <w:tcW w:w="785" w:type="dxa"/>
          </w:tcPr>
          <w:p>
            <w:pPr>
              <w:pStyle w:val="12"/>
              <w:spacing w:before="9"/>
              <w:rPr>
                <w:rFonts w:ascii="仿宋"/>
                <w:sz w:val="23"/>
              </w:rPr>
            </w:pPr>
          </w:p>
          <w:p>
            <w:pPr>
              <w:pStyle w:val="12"/>
              <w:ind w:left="192" w:right="183"/>
              <w:jc w:val="center"/>
              <w:rPr>
                <w:sz w:val="18"/>
              </w:rPr>
            </w:pPr>
            <w:r>
              <w:rPr>
                <w:sz w:val="18"/>
              </w:rPr>
              <w:t>定性</w:t>
            </w:r>
          </w:p>
        </w:tc>
        <w:tc>
          <w:tcPr>
            <w:tcW w:w="400" w:type="dxa"/>
          </w:tcPr>
          <w:p>
            <w:pPr>
              <w:pStyle w:val="12"/>
              <w:rPr>
                <w:rFonts w:ascii="Times New Roman"/>
                <w:sz w:val="18"/>
              </w:rPr>
            </w:pPr>
          </w:p>
        </w:tc>
        <w:tc>
          <w:tcPr>
            <w:tcW w:w="634" w:type="dxa"/>
          </w:tcPr>
          <w:p>
            <w:pPr>
              <w:pStyle w:val="12"/>
              <w:spacing w:before="9"/>
              <w:rPr>
                <w:rFonts w:ascii="仿宋"/>
                <w:sz w:val="23"/>
              </w:rPr>
            </w:pPr>
          </w:p>
          <w:p>
            <w:pPr>
              <w:pStyle w:val="12"/>
              <w:ind w:left="115" w:right="107"/>
              <w:jc w:val="center"/>
              <w:rPr>
                <w:sz w:val="18"/>
              </w:rPr>
            </w:pPr>
            <w:r>
              <w:rPr>
                <w:sz w:val="18"/>
              </w:rPr>
              <w:t>4 万</w:t>
            </w:r>
          </w:p>
        </w:tc>
        <w:tc>
          <w:tcPr>
            <w:tcW w:w="681" w:type="dxa"/>
          </w:tcPr>
          <w:p>
            <w:pPr>
              <w:pStyle w:val="12"/>
              <w:spacing w:before="9"/>
              <w:rPr>
                <w:rFonts w:ascii="仿宋"/>
                <w:sz w:val="23"/>
              </w:rPr>
            </w:pPr>
          </w:p>
          <w:p>
            <w:pPr>
              <w:pStyle w:val="12"/>
              <w:ind w:right="171"/>
              <w:jc w:val="right"/>
              <w:rPr>
                <w:sz w:val="18"/>
              </w:rPr>
            </w:pPr>
            <w:r>
              <w:rPr>
                <w:sz w:val="18"/>
              </w:rPr>
              <w:t>4 万</w:t>
            </w:r>
          </w:p>
        </w:tc>
        <w:tc>
          <w:tcPr>
            <w:tcW w:w="620" w:type="dxa"/>
          </w:tcPr>
          <w:p>
            <w:pPr>
              <w:pStyle w:val="12"/>
              <w:rPr>
                <w:rFonts w:ascii="Times New Roman"/>
                <w:sz w:val="18"/>
              </w:rPr>
            </w:pPr>
          </w:p>
        </w:tc>
        <w:tc>
          <w:tcPr>
            <w:tcW w:w="775" w:type="dxa"/>
          </w:tcPr>
          <w:p>
            <w:pPr>
              <w:pStyle w:val="12"/>
              <w:spacing w:before="9"/>
              <w:rPr>
                <w:rFonts w:ascii="仿宋"/>
                <w:sz w:val="23"/>
              </w:rPr>
            </w:pPr>
          </w:p>
          <w:p>
            <w:pPr>
              <w:pStyle w:val="12"/>
              <w:ind w:left="8"/>
              <w:jc w:val="center"/>
              <w:rPr>
                <w:sz w:val="18"/>
              </w:rPr>
            </w:pPr>
            <w:r>
              <w:rPr>
                <w:sz w:val="18"/>
              </w:rPr>
              <w:t>5</w:t>
            </w:r>
          </w:p>
        </w:tc>
        <w:tc>
          <w:tcPr>
            <w:tcW w:w="437" w:type="dxa"/>
          </w:tcPr>
          <w:p>
            <w:pPr>
              <w:pStyle w:val="12"/>
              <w:spacing w:before="9"/>
              <w:rPr>
                <w:rFonts w:ascii="仿宋"/>
                <w:sz w:val="23"/>
              </w:rPr>
            </w:pPr>
          </w:p>
          <w:p>
            <w:pPr>
              <w:pStyle w:val="12"/>
              <w:ind w:left="6"/>
              <w:jc w:val="center"/>
              <w:rPr>
                <w:sz w:val="18"/>
              </w:rPr>
            </w:pPr>
            <w:r>
              <w:rPr>
                <w:sz w:val="18"/>
              </w:rPr>
              <w:t>5</w:t>
            </w:r>
          </w:p>
        </w:tc>
        <w:tc>
          <w:tcPr>
            <w:tcW w:w="666" w:type="dxa"/>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86" w:type="dxa"/>
            <w:vMerge w:val="continue"/>
            <w:tcBorders>
              <w:top w:val="nil"/>
            </w:tcBorders>
          </w:tcPr>
          <w:p>
            <w:pPr>
              <w:rPr>
                <w:sz w:val="2"/>
                <w:szCs w:val="2"/>
              </w:rPr>
            </w:pPr>
          </w:p>
        </w:tc>
        <w:tc>
          <w:tcPr>
            <w:tcW w:w="960" w:type="dxa"/>
            <w:vMerge w:val="continue"/>
            <w:tcBorders>
              <w:top w:val="nil"/>
            </w:tcBorders>
          </w:tcPr>
          <w:p>
            <w:pPr>
              <w:rPr>
                <w:sz w:val="2"/>
                <w:szCs w:val="2"/>
              </w:rPr>
            </w:pPr>
          </w:p>
        </w:tc>
        <w:tc>
          <w:tcPr>
            <w:tcW w:w="880" w:type="dxa"/>
            <w:vMerge w:val="continue"/>
            <w:tcBorders>
              <w:top w:val="nil"/>
            </w:tcBorders>
          </w:tcPr>
          <w:p>
            <w:pPr>
              <w:rPr>
                <w:sz w:val="2"/>
                <w:szCs w:val="2"/>
              </w:rPr>
            </w:pPr>
          </w:p>
        </w:tc>
        <w:tc>
          <w:tcPr>
            <w:tcW w:w="1160" w:type="dxa"/>
          </w:tcPr>
          <w:p>
            <w:pPr>
              <w:pStyle w:val="12"/>
              <w:spacing w:before="9"/>
              <w:rPr>
                <w:rFonts w:ascii="仿宋"/>
                <w:sz w:val="14"/>
              </w:rPr>
            </w:pPr>
          </w:p>
          <w:p>
            <w:pPr>
              <w:pStyle w:val="12"/>
              <w:spacing w:line="242" w:lineRule="auto"/>
              <w:ind w:left="308" w:right="119" w:hanging="180"/>
              <w:rPr>
                <w:sz w:val="18"/>
              </w:rPr>
            </w:pPr>
            <w:r>
              <w:rPr>
                <w:sz w:val="18"/>
              </w:rPr>
              <w:t>公务车运行维护费</w:t>
            </w:r>
          </w:p>
        </w:tc>
        <w:tc>
          <w:tcPr>
            <w:tcW w:w="785" w:type="dxa"/>
          </w:tcPr>
          <w:p>
            <w:pPr>
              <w:pStyle w:val="12"/>
              <w:spacing w:before="11"/>
              <w:rPr>
                <w:rFonts w:ascii="仿宋"/>
                <w:sz w:val="23"/>
              </w:rPr>
            </w:pPr>
          </w:p>
          <w:p>
            <w:pPr>
              <w:pStyle w:val="12"/>
              <w:ind w:left="192" w:right="183"/>
              <w:jc w:val="center"/>
              <w:rPr>
                <w:sz w:val="18"/>
              </w:rPr>
            </w:pPr>
            <w:r>
              <w:rPr>
                <w:sz w:val="18"/>
              </w:rPr>
              <w:t>定性</w:t>
            </w:r>
          </w:p>
        </w:tc>
        <w:tc>
          <w:tcPr>
            <w:tcW w:w="400" w:type="dxa"/>
          </w:tcPr>
          <w:p>
            <w:pPr>
              <w:pStyle w:val="12"/>
              <w:rPr>
                <w:rFonts w:ascii="Times New Roman"/>
                <w:sz w:val="18"/>
              </w:rPr>
            </w:pPr>
          </w:p>
        </w:tc>
        <w:tc>
          <w:tcPr>
            <w:tcW w:w="634" w:type="dxa"/>
          </w:tcPr>
          <w:p>
            <w:pPr>
              <w:pStyle w:val="12"/>
              <w:spacing w:before="11"/>
              <w:rPr>
                <w:rFonts w:ascii="仿宋"/>
                <w:sz w:val="23"/>
              </w:rPr>
            </w:pPr>
          </w:p>
          <w:p>
            <w:pPr>
              <w:pStyle w:val="12"/>
              <w:ind w:left="115" w:right="107"/>
              <w:jc w:val="center"/>
              <w:rPr>
                <w:sz w:val="18"/>
              </w:rPr>
            </w:pPr>
            <w:r>
              <w:rPr>
                <w:sz w:val="18"/>
              </w:rPr>
              <w:t>2 万</w:t>
            </w:r>
          </w:p>
        </w:tc>
        <w:tc>
          <w:tcPr>
            <w:tcW w:w="681" w:type="dxa"/>
          </w:tcPr>
          <w:p>
            <w:pPr>
              <w:pStyle w:val="12"/>
              <w:spacing w:before="11"/>
              <w:rPr>
                <w:rFonts w:ascii="仿宋"/>
                <w:sz w:val="23"/>
              </w:rPr>
            </w:pPr>
          </w:p>
          <w:p>
            <w:pPr>
              <w:pStyle w:val="12"/>
              <w:ind w:right="171"/>
              <w:jc w:val="right"/>
              <w:rPr>
                <w:sz w:val="18"/>
              </w:rPr>
            </w:pPr>
            <w:r>
              <w:rPr>
                <w:sz w:val="18"/>
              </w:rPr>
              <w:t>2 万</w:t>
            </w:r>
          </w:p>
        </w:tc>
        <w:tc>
          <w:tcPr>
            <w:tcW w:w="620" w:type="dxa"/>
          </w:tcPr>
          <w:p>
            <w:pPr>
              <w:pStyle w:val="12"/>
              <w:rPr>
                <w:rFonts w:ascii="Times New Roman"/>
                <w:sz w:val="18"/>
              </w:rPr>
            </w:pPr>
          </w:p>
        </w:tc>
        <w:tc>
          <w:tcPr>
            <w:tcW w:w="775" w:type="dxa"/>
          </w:tcPr>
          <w:p>
            <w:pPr>
              <w:pStyle w:val="12"/>
              <w:spacing w:before="11"/>
              <w:rPr>
                <w:rFonts w:ascii="仿宋"/>
                <w:sz w:val="23"/>
              </w:rPr>
            </w:pPr>
          </w:p>
          <w:p>
            <w:pPr>
              <w:pStyle w:val="12"/>
              <w:ind w:left="8"/>
              <w:jc w:val="center"/>
              <w:rPr>
                <w:sz w:val="18"/>
              </w:rPr>
            </w:pPr>
            <w:r>
              <w:rPr>
                <w:sz w:val="18"/>
              </w:rPr>
              <w:t>5</w:t>
            </w:r>
          </w:p>
        </w:tc>
        <w:tc>
          <w:tcPr>
            <w:tcW w:w="437" w:type="dxa"/>
          </w:tcPr>
          <w:p>
            <w:pPr>
              <w:pStyle w:val="12"/>
              <w:spacing w:before="11"/>
              <w:rPr>
                <w:rFonts w:ascii="仿宋"/>
                <w:sz w:val="23"/>
              </w:rPr>
            </w:pPr>
          </w:p>
          <w:p>
            <w:pPr>
              <w:pStyle w:val="12"/>
              <w:ind w:left="6"/>
              <w:jc w:val="center"/>
              <w:rPr>
                <w:sz w:val="18"/>
              </w:rPr>
            </w:pPr>
            <w:r>
              <w:rPr>
                <w:sz w:val="18"/>
              </w:rPr>
              <w:t>5</w:t>
            </w:r>
          </w:p>
        </w:tc>
        <w:tc>
          <w:tcPr>
            <w:tcW w:w="666" w:type="dxa"/>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86" w:type="dxa"/>
            <w:vMerge w:val="continue"/>
            <w:tcBorders>
              <w:top w:val="nil"/>
            </w:tcBorders>
          </w:tcPr>
          <w:p>
            <w:pPr>
              <w:rPr>
                <w:sz w:val="2"/>
                <w:szCs w:val="2"/>
              </w:rPr>
            </w:pPr>
          </w:p>
        </w:tc>
        <w:tc>
          <w:tcPr>
            <w:tcW w:w="960" w:type="dxa"/>
            <w:vMerge w:val="continue"/>
            <w:tcBorders>
              <w:top w:val="nil"/>
            </w:tcBorders>
          </w:tcPr>
          <w:p>
            <w:pPr>
              <w:rPr>
                <w:sz w:val="2"/>
                <w:szCs w:val="2"/>
              </w:rPr>
            </w:pPr>
          </w:p>
        </w:tc>
        <w:tc>
          <w:tcPr>
            <w:tcW w:w="880" w:type="dxa"/>
            <w:vMerge w:val="continue"/>
            <w:tcBorders>
              <w:top w:val="nil"/>
            </w:tcBorders>
          </w:tcPr>
          <w:p>
            <w:pPr>
              <w:rPr>
                <w:sz w:val="2"/>
                <w:szCs w:val="2"/>
              </w:rPr>
            </w:pPr>
          </w:p>
        </w:tc>
        <w:tc>
          <w:tcPr>
            <w:tcW w:w="1160" w:type="dxa"/>
          </w:tcPr>
          <w:p>
            <w:pPr>
              <w:pStyle w:val="12"/>
              <w:rPr>
                <w:rFonts w:ascii="仿宋"/>
                <w:sz w:val="18"/>
              </w:rPr>
            </w:pPr>
          </w:p>
          <w:p>
            <w:pPr>
              <w:pStyle w:val="12"/>
              <w:spacing w:before="120"/>
              <w:ind w:left="108" w:right="101"/>
              <w:jc w:val="center"/>
              <w:rPr>
                <w:sz w:val="18"/>
              </w:rPr>
            </w:pPr>
            <w:r>
              <w:rPr>
                <w:sz w:val="18"/>
              </w:rPr>
              <w:t>设备购置费</w:t>
            </w:r>
          </w:p>
        </w:tc>
        <w:tc>
          <w:tcPr>
            <w:tcW w:w="785" w:type="dxa"/>
          </w:tcPr>
          <w:p>
            <w:pPr>
              <w:pStyle w:val="12"/>
              <w:rPr>
                <w:rFonts w:ascii="仿宋"/>
                <w:sz w:val="18"/>
              </w:rPr>
            </w:pPr>
          </w:p>
          <w:p>
            <w:pPr>
              <w:pStyle w:val="12"/>
              <w:spacing w:before="120"/>
              <w:ind w:left="192" w:right="183"/>
              <w:jc w:val="center"/>
              <w:rPr>
                <w:sz w:val="18"/>
              </w:rPr>
            </w:pPr>
            <w:r>
              <w:rPr>
                <w:sz w:val="18"/>
              </w:rPr>
              <w:t>定性</w:t>
            </w:r>
          </w:p>
        </w:tc>
        <w:tc>
          <w:tcPr>
            <w:tcW w:w="400" w:type="dxa"/>
          </w:tcPr>
          <w:p>
            <w:pPr>
              <w:pStyle w:val="12"/>
              <w:rPr>
                <w:rFonts w:ascii="Times New Roman"/>
                <w:sz w:val="18"/>
              </w:rPr>
            </w:pPr>
          </w:p>
        </w:tc>
        <w:tc>
          <w:tcPr>
            <w:tcW w:w="634" w:type="dxa"/>
          </w:tcPr>
          <w:p>
            <w:pPr>
              <w:pStyle w:val="12"/>
              <w:spacing w:before="5"/>
              <w:rPr>
                <w:rFonts w:ascii="仿宋"/>
                <w:sz w:val="18"/>
              </w:rPr>
            </w:pPr>
          </w:p>
          <w:p>
            <w:pPr>
              <w:pStyle w:val="12"/>
              <w:spacing w:line="242" w:lineRule="auto"/>
              <w:ind w:left="227" w:right="87" w:hanging="70"/>
              <w:rPr>
                <w:sz w:val="18"/>
              </w:rPr>
            </w:pPr>
            <w:r>
              <w:rPr>
                <w:sz w:val="18"/>
              </w:rPr>
              <w:t>4 万元</w:t>
            </w:r>
          </w:p>
        </w:tc>
        <w:tc>
          <w:tcPr>
            <w:tcW w:w="681" w:type="dxa"/>
          </w:tcPr>
          <w:p>
            <w:pPr>
              <w:pStyle w:val="12"/>
              <w:spacing w:before="5"/>
              <w:rPr>
                <w:rFonts w:ascii="仿宋"/>
                <w:sz w:val="18"/>
              </w:rPr>
            </w:pPr>
          </w:p>
          <w:p>
            <w:pPr>
              <w:pStyle w:val="12"/>
              <w:ind w:left="93" w:right="87"/>
              <w:jc w:val="center"/>
              <w:rPr>
                <w:sz w:val="18"/>
              </w:rPr>
            </w:pPr>
            <w:r>
              <w:rPr>
                <w:sz w:val="18"/>
              </w:rPr>
              <w:t>39960</w:t>
            </w:r>
          </w:p>
          <w:p>
            <w:pPr>
              <w:pStyle w:val="12"/>
              <w:spacing w:before="2"/>
              <w:ind w:left="10"/>
              <w:jc w:val="center"/>
              <w:rPr>
                <w:sz w:val="18"/>
              </w:rPr>
            </w:pPr>
            <w:r>
              <w:rPr>
                <w:sz w:val="18"/>
              </w:rPr>
              <w:t>元</w:t>
            </w:r>
          </w:p>
        </w:tc>
        <w:tc>
          <w:tcPr>
            <w:tcW w:w="620" w:type="dxa"/>
          </w:tcPr>
          <w:p>
            <w:pPr>
              <w:pStyle w:val="12"/>
              <w:rPr>
                <w:rFonts w:ascii="Times New Roman"/>
                <w:sz w:val="18"/>
              </w:rPr>
            </w:pPr>
          </w:p>
        </w:tc>
        <w:tc>
          <w:tcPr>
            <w:tcW w:w="775" w:type="dxa"/>
          </w:tcPr>
          <w:p>
            <w:pPr>
              <w:pStyle w:val="12"/>
              <w:rPr>
                <w:rFonts w:ascii="仿宋"/>
                <w:sz w:val="18"/>
              </w:rPr>
            </w:pPr>
          </w:p>
          <w:p>
            <w:pPr>
              <w:pStyle w:val="12"/>
              <w:spacing w:before="120"/>
              <w:ind w:left="8"/>
              <w:jc w:val="center"/>
              <w:rPr>
                <w:sz w:val="18"/>
              </w:rPr>
            </w:pPr>
            <w:r>
              <w:rPr>
                <w:sz w:val="18"/>
              </w:rPr>
              <w:t>5</w:t>
            </w:r>
          </w:p>
        </w:tc>
        <w:tc>
          <w:tcPr>
            <w:tcW w:w="437" w:type="dxa"/>
          </w:tcPr>
          <w:p>
            <w:pPr>
              <w:pStyle w:val="12"/>
              <w:rPr>
                <w:rFonts w:ascii="仿宋"/>
                <w:sz w:val="18"/>
              </w:rPr>
            </w:pPr>
          </w:p>
          <w:p>
            <w:pPr>
              <w:pStyle w:val="12"/>
              <w:spacing w:before="120"/>
              <w:ind w:left="6"/>
              <w:jc w:val="center"/>
              <w:rPr>
                <w:sz w:val="18"/>
              </w:rPr>
            </w:pPr>
            <w:r>
              <w:rPr>
                <w:sz w:val="18"/>
              </w:rPr>
              <w:t>5</w:t>
            </w:r>
          </w:p>
        </w:tc>
        <w:tc>
          <w:tcPr>
            <w:tcW w:w="666" w:type="dxa"/>
          </w:tcPr>
          <w:p>
            <w:pPr>
              <w:pStyle w:val="12"/>
              <w:spacing w:before="3" w:line="230" w:lineRule="atLeast"/>
              <w:ind w:left="152" w:right="120" w:hanging="22"/>
              <w:jc w:val="both"/>
              <w:rPr>
                <w:sz w:val="18"/>
              </w:rPr>
            </w:pPr>
            <w:r>
              <w:rPr>
                <w:sz w:val="18"/>
              </w:rPr>
              <w:t>40</w:t>
            </w:r>
            <w:r>
              <w:rPr>
                <w:spacing w:val="-33"/>
                <w:sz w:val="18"/>
              </w:rPr>
              <w:t xml:space="preserve"> 元</w:t>
            </w:r>
            <w:r>
              <w:rPr>
                <w:sz w:val="18"/>
              </w:rPr>
              <w:t>交回财政了。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86" w:type="dxa"/>
            <w:vMerge w:val="continue"/>
            <w:tcBorders>
              <w:top w:val="nil"/>
            </w:tcBorders>
          </w:tcPr>
          <w:p>
            <w:pPr>
              <w:rPr>
                <w:sz w:val="2"/>
                <w:szCs w:val="2"/>
              </w:rPr>
            </w:pPr>
          </w:p>
        </w:tc>
        <w:tc>
          <w:tcPr>
            <w:tcW w:w="960" w:type="dxa"/>
            <w:vMerge w:val="restart"/>
          </w:tcPr>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spacing w:before="12"/>
              <w:rPr>
                <w:rFonts w:ascii="仿宋"/>
                <w:sz w:val="24"/>
              </w:rPr>
            </w:pPr>
          </w:p>
          <w:p>
            <w:pPr>
              <w:pStyle w:val="12"/>
              <w:ind w:left="118"/>
              <w:rPr>
                <w:sz w:val="18"/>
              </w:rPr>
            </w:pPr>
            <w:r>
              <w:rPr>
                <w:sz w:val="18"/>
              </w:rPr>
              <w:t>效益指标</w:t>
            </w:r>
          </w:p>
        </w:tc>
        <w:tc>
          <w:tcPr>
            <w:tcW w:w="880" w:type="dxa"/>
          </w:tcPr>
          <w:p>
            <w:pPr>
              <w:pStyle w:val="12"/>
              <w:spacing w:before="7"/>
              <w:rPr>
                <w:rFonts w:ascii="仿宋"/>
                <w:sz w:val="14"/>
              </w:rPr>
            </w:pPr>
          </w:p>
          <w:p>
            <w:pPr>
              <w:pStyle w:val="12"/>
              <w:spacing w:before="1" w:line="242" w:lineRule="auto"/>
              <w:ind w:left="348" w:right="159" w:hanging="180"/>
              <w:rPr>
                <w:sz w:val="18"/>
              </w:rPr>
            </w:pPr>
            <w:r>
              <w:rPr>
                <w:sz w:val="18"/>
              </w:rPr>
              <w:t>经济效益</w:t>
            </w:r>
          </w:p>
        </w:tc>
        <w:tc>
          <w:tcPr>
            <w:tcW w:w="1160" w:type="dxa"/>
          </w:tcPr>
          <w:p>
            <w:pPr>
              <w:pStyle w:val="12"/>
              <w:spacing w:before="7"/>
              <w:rPr>
                <w:rFonts w:ascii="仿宋"/>
                <w:sz w:val="14"/>
              </w:rPr>
            </w:pPr>
          </w:p>
          <w:p>
            <w:pPr>
              <w:pStyle w:val="12"/>
              <w:spacing w:before="1" w:line="242" w:lineRule="auto"/>
              <w:ind w:left="488" w:right="119" w:hanging="360"/>
              <w:rPr>
                <w:sz w:val="18"/>
              </w:rPr>
            </w:pPr>
            <w:r>
              <w:rPr>
                <w:sz w:val="18"/>
              </w:rPr>
              <w:t>经济效益指标</w:t>
            </w:r>
          </w:p>
        </w:tc>
        <w:tc>
          <w:tcPr>
            <w:tcW w:w="785" w:type="dxa"/>
          </w:tcPr>
          <w:p>
            <w:pPr>
              <w:pStyle w:val="12"/>
              <w:spacing w:before="10"/>
              <w:rPr>
                <w:rFonts w:ascii="仿宋"/>
                <w:sz w:val="23"/>
              </w:rPr>
            </w:pPr>
          </w:p>
          <w:p>
            <w:pPr>
              <w:pStyle w:val="12"/>
              <w:ind w:left="192" w:right="183"/>
              <w:jc w:val="center"/>
              <w:rPr>
                <w:sz w:val="18"/>
              </w:rPr>
            </w:pPr>
            <w:r>
              <w:rPr>
                <w:sz w:val="18"/>
              </w:rPr>
              <w:t>定性</w:t>
            </w:r>
          </w:p>
        </w:tc>
        <w:tc>
          <w:tcPr>
            <w:tcW w:w="400" w:type="dxa"/>
          </w:tcPr>
          <w:p>
            <w:pPr>
              <w:pStyle w:val="12"/>
              <w:rPr>
                <w:rFonts w:ascii="Times New Roman"/>
                <w:sz w:val="18"/>
              </w:rPr>
            </w:pPr>
          </w:p>
        </w:tc>
        <w:tc>
          <w:tcPr>
            <w:tcW w:w="634" w:type="dxa"/>
          </w:tcPr>
          <w:p>
            <w:pPr>
              <w:pStyle w:val="12"/>
              <w:spacing w:before="10"/>
              <w:rPr>
                <w:rFonts w:ascii="仿宋"/>
                <w:sz w:val="23"/>
              </w:rPr>
            </w:pPr>
          </w:p>
          <w:p>
            <w:pPr>
              <w:pStyle w:val="12"/>
              <w:ind w:left="10"/>
              <w:jc w:val="center"/>
              <w:rPr>
                <w:sz w:val="18"/>
              </w:rPr>
            </w:pPr>
            <w:r>
              <w:rPr>
                <w:sz w:val="18"/>
              </w:rPr>
              <w:t>无</w:t>
            </w:r>
          </w:p>
        </w:tc>
        <w:tc>
          <w:tcPr>
            <w:tcW w:w="681" w:type="dxa"/>
          </w:tcPr>
          <w:p>
            <w:pPr>
              <w:pStyle w:val="12"/>
              <w:spacing w:before="10"/>
              <w:rPr>
                <w:rFonts w:ascii="仿宋"/>
                <w:sz w:val="23"/>
              </w:rPr>
            </w:pPr>
          </w:p>
          <w:p>
            <w:pPr>
              <w:pStyle w:val="12"/>
              <w:ind w:right="238"/>
              <w:jc w:val="right"/>
              <w:rPr>
                <w:sz w:val="18"/>
              </w:rPr>
            </w:pPr>
            <w:r>
              <w:rPr>
                <w:sz w:val="18"/>
              </w:rPr>
              <w:t>无</w:t>
            </w:r>
          </w:p>
        </w:tc>
        <w:tc>
          <w:tcPr>
            <w:tcW w:w="620" w:type="dxa"/>
          </w:tcPr>
          <w:p>
            <w:pPr>
              <w:pStyle w:val="12"/>
              <w:rPr>
                <w:rFonts w:ascii="Times New Roman"/>
                <w:sz w:val="18"/>
              </w:rPr>
            </w:pPr>
          </w:p>
        </w:tc>
        <w:tc>
          <w:tcPr>
            <w:tcW w:w="775" w:type="dxa"/>
          </w:tcPr>
          <w:p>
            <w:pPr>
              <w:pStyle w:val="12"/>
              <w:spacing w:before="10"/>
              <w:rPr>
                <w:rFonts w:ascii="仿宋"/>
                <w:sz w:val="23"/>
              </w:rPr>
            </w:pPr>
          </w:p>
          <w:p>
            <w:pPr>
              <w:pStyle w:val="12"/>
              <w:ind w:left="8"/>
              <w:jc w:val="center"/>
              <w:rPr>
                <w:sz w:val="18"/>
              </w:rPr>
            </w:pPr>
            <w:r>
              <w:rPr>
                <w:sz w:val="18"/>
              </w:rPr>
              <w:t>5</w:t>
            </w:r>
          </w:p>
        </w:tc>
        <w:tc>
          <w:tcPr>
            <w:tcW w:w="437" w:type="dxa"/>
          </w:tcPr>
          <w:p>
            <w:pPr>
              <w:pStyle w:val="12"/>
              <w:spacing w:before="10"/>
              <w:rPr>
                <w:rFonts w:ascii="仿宋"/>
                <w:sz w:val="23"/>
              </w:rPr>
            </w:pPr>
          </w:p>
          <w:p>
            <w:pPr>
              <w:pStyle w:val="12"/>
              <w:ind w:left="6"/>
              <w:jc w:val="center"/>
              <w:rPr>
                <w:sz w:val="18"/>
              </w:rPr>
            </w:pPr>
            <w:r>
              <w:rPr>
                <w:sz w:val="18"/>
              </w:rPr>
              <w:t>0</w:t>
            </w:r>
          </w:p>
        </w:tc>
        <w:tc>
          <w:tcPr>
            <w:tcW w:w="666" w:type="dxa"/>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86" w:type="dxa"/>
            <w:vMerge w:val="continue"/>
            <w:tcBorders>
              <w:top w:val="nil"/>
            </w:tcBorders>
          </w:tcPr>
          <w:p>
            <w:pPr>
              <w:rPr>
                <w:sz w:val="2"/>
                <w:szCs w:val="2"/>
              </w:rPr>
            </w:pPr>
          </w:p>
        </w:tc>
        <w:tc>
          <w:tcPr>
            <w:tcW w:w="960" w:type="dxa"/>
            <w:vMerge w:val="continue"/>
            <w:tcBorders>
              <w:top w:val="nil"/>
            </w:tcBorders>
          </w:tcPr>
          <w:p>
            <w:pPr>
              <w:rPr>
                <w:sz w:val="2"/>
                <w:szCs w:val="2"/>
              </w:rPr>
            </w:pPr>
          </w:p>
        </w:tc>
        <w:tc>
          <w:tcPr>
            <w:tcW w:w="880" w:type="dxa"/>
          </w:tcPr>
          <w:p>
            <w:pPr>
              <w:pStyle w:val="12"/>
              <w:spacing w:before="117" w:line="242" w:lineRule="auto"/>
              <w:ind w:left="348" w:right="159" w:hanging="180"/>
              <w:rPr>
                <w:sz w:val="18"/>
              </w:rPr>
            </w:pPr>
            <w:r>
              <w:rPr>
                <w:sz w:val="18"/>
              </w:rPr>
              <w:t>社会效益</w:t>
            </w:r>
          </w:p>
        </w:tc>
        <w:tc>
          <w:tcPr>
            <w:tcW w:w="1160" w:type="dxa"/>
          </w:tcPr>
          <w:p>
            <w:pPr>
              <w:pStyle w:val="12"/>
              <w:spacing w:before="2" w:line="230" w:lineRule="atLeast"/>
              <w:ind w:left="128" w:right="119"/>
              <w:jc w:val="center"/>
              <w:rPr>
                <w:sz w:val="18"/>
              </w:rPr>
            </w:pPr>
            <w:r>
              <w:rPr>
                <w:sz w:val="18"/>
              </w:rPr>
              <w:t>提高精神建设文明质量程度</w:t>
            </w:r>
          </w:p>
        </w:tc>
        <w:tc>
          <w:tcPr>
            <w:tcW w:w="785" w:type="dxa"/>
          </w:tcPr>
          <w:p>
            <w:pPr>
              <w:pStyle w:val="12"/>
              <w:spacing w:before="4"/>
              <w:rPr>
                <w:rFonts w:ascii="仿宋"/>
                <w:sz w:val="18"/>
              </w:rPr>
            </w:pPr>
          </w:p>
          <w:p>
            <w:pPr>
              <w:pStyle w:val="12"/>
              <w:ind w:left="192" w:right="183"/>
              <w:jc w:val="center"/>
              <w:rPr>
                <w:sz w:val="18"/>
              </w:rPr>
            </w:pPr>
            <w:r>
              <w:rPr>
                <w:sz w:val="18"/>
              </w:rPr>
              <w:t>定性</w:t>
            </w:r>
          </w:p>
        </w:tc>
        <w:tc>
          <w:tcPr>
            <w:tcW w:w="400" w:type="dxa"/>
          </w:tcPr>
          <w:p>
            <w:pPr>
              <w:pStyle w:val="12"/>
              <w:rPr>
                <w:rFonts w:ascii="Times New Roman"/>
                <w:sz w:val="18"/>
              </w:rPr>
            </w:pPr>
          </w:p>
        </w:tc>
        <w:tc>
          <w:tcPr>
            <w:tcW w:w="634" w:type="dxa"/>
          </w:tcPr>
          <w:p>
            <w:pPr>
              <w:pStyle w:val="12"/>
              <w:spacing w:before="4"/>
              <w:rPr>
                <w:rFonts w:ascii="仿宋"/>
                <w:sz w:val="18"/>
              </w:rPr>
            </w:pPr>
          </w:p>
          <w:p>
            <w:pPr>
              <w:pStyle w:val="12"/>
              <w:ind w:left="116" w:right="107"/>
              <w:jc w:val="center"/>
              <w:rPr>
                <w:sz w:val="18"/>
              </w:rPr>
            </w:pPr>
            <w:r>
              <w:rPr>
                <w:sz w:val="18"/>
              </w:rPr>
              <w:t>100%</w:t>
            </w:r>
          </w:p>
        </w:tc>
        <w:tc>
          <w:tcPr>
            <w:tcW w:w="681" w:type="dxa"/>
          </w:tcPr>
          <w:p>
            <w:pPr>
              <w:pStyle w:val="12"/>
              <w:spacing w:before="4"/>
              <w:rPr>
                <w:rFonts w:ascii="仿宋"/>
                <w:sz w:val="18"/>
              </w:rPr>
            </w:pPr>
          </w:p>
          <w:p>
            <w:pPr>
              <w:pStyle w:val="12"/>
              <w:ind w:right="148"/>
              <w:jc w:val="right"/>
              <w:rPr>
                <w:sz w:val="18"/>
              </w:rPr>
            </w:pPr>
            <w:r>
              <w:rPr>
                <w:sz w:val="18"/>
              </w:rPr>
              <w:t>100%</w:t>
            </w:r>
          </w:p>
        </w:tc>
        <w:tc>
          <w:tcPr>
            <w:tcW w:w="620" w:type="dxa"/>
          </w:tcPr>
          <w:p>
            <w:pPr>
              <w:pStyle w:val="12"/>
              <w:rPr>
                <w:rFonts w:ascii="Times New Roman"/>
                <w:sz w:val="18"/>
              </w:rPr>
            </w:pPr>
          </w:p>
        </w:tc>
        <w:tc>
          <w:tcPr>
            <w:tcW w:w="775" w:type="dxa"/>
          </w:tcPr>
          <w:p>
            <w:pPr>
              <w:pStyle w:val="12"/>
              <w:spacing w:before="4"/>
              <w:rPr>
                <w:rFonts w:ascii="仿宋"/>
                <w:sz w:val="18"/>
              </w:rPr>
            </w:pPr>
          </w:p>
          <w:p>
            <w:pPr>
              <w:pStyle w:val="12"/>
              <w:ind w:left="8"/>
              <w:jc w:val="center"/>
              <w:rPr>
                <w:sz w:val="18"/>
              </w:rPr>
            </w:pPr>
            <w:r>
              <w:rPr>
                <w:sz w:val="18"/>
              </w:rPr>
              <w:t>7</w:t>
            </w:r>
          </w:p>
        </w:tc>
        <w:tc>
          <w:tcPr>
            <w:tcW w:w="437" w:type="dxa"/>
          </w:tcPr>
          <w:p>
            <w:pPr>
              <w:pStyle w:val="12"/>
              <w:spacing w:before="4"/>
              <w:rPr>
                <w:rFonts w:ascii="仿宋"/>
                <w:sz w:val="18"/>
              </w:rPr>
            </w:pPr>
          </w:p>
          <w:p>
            <w:pPr>
              <w:pStyle w:val="12"/>
              <w:ind w:left="6"/>
              <w:jc w:val="center"/>
              <w:rPr>
                <w:sz w:val="18"/>
              </w:rPr>
            </w:pPr>
            <w:r>
              <w:rPr>
                <w:sz w:val="18"/>
              </w:rPr>
              <w:t>7</w:t>
            </w:r>
          </w:p>
        </w:tc>
        <w:tc>
          <w:tcPr>
            <w:tcW w:w="666" w:type="dxa"/>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86" w:type="dxa"/>
            <w:vMerge w:val="continue"/>
            <w:tcBorders>
              <w:top w:val="nil"/>
            </w:tcBorders>
          </w:tcPr>
          <w:p>
            <w:pPr>
              <w:rPr>
                <w:sz w:val="2"/>
                <w:szCs w:val="2"/>
              </w:rPr>
            </w:pPr>
          </w:p>
        </w:tc>
        <w:tc>
          <w:tcPr>
            <w:tcW w:w="960" w:type="dxa"/>
            <w:vMerge w:val="continue"/>
            <w:tcBorders>
              <w:top w:val="nil"/>
            </w:tcBorders>
          </w:tcPr>
          <w:p>
            <w:pPr>
              <w:rPr>
                <w:sz w:val="2"/>
                <w:szCs w:val="2"/>
              </w:rPr>
            </w:pPr>
          </w:p>
        </w:tc>
        <w:tc>
          <w:tcPr>
            <w:tcW w:w="880" w:type="dxa"/>
          </w:tcPr>
          <w:p>
            <w:pPr>
              <w:pStyle w:val="12"/>
              <w:spacing w:before="98" w:line="242" w:lineRule="auto"/>
              <w:ind w:left="348" w:right="159" w:hanging="180"/>
              <w:rPr>
                <w:sz w:val="18"/>
              </w:rPr>
            </w:pPr>
            <w:r>
              <w:rPr>
                <w:sz w:val="18"/>
              </w:rPr>
              <w:t>生态效益</w:t>
            </w:r>
          </w:p>
        </w:tc>
        <w:tc>
          <w:tcPr>
            <w:tcW w:w="1160" w:type="dxa"/>
          </w:tcPr>
          <w:p>
            <w:pPr>
              <w:pStyle w:val="12"/>
              <w:spacing w:before="98" w:line="242" w:lineRule="auto"/>
              <w:ind w:left="128" w:right="119"/>
              <w:rPr>
                <w:sz w:val="18"/>
              </w:rPr>
            </w:pPr>
            <w:r>
              <w:rPr>
                <w:sz w:val="18"/>
              </w:rPr>
              <w:t>农村牧区环境宜居程度</w:t>
            </w:r>
          </w:p>
        </w:tc>
        <w:tc>
          <w:tcPr>
            <w:tcW w:w="785" w:type="dxa"/>
          </w:tcPr>
          <w:p>
            <w:pPr>
              <w:pStyle w:val="12"/>
              <w:spacing w:before="11"/>
              <w:rPr>
                <w:rFonts w:ascii="仿宋"/>
                <w:sz w:val="16"/>
              </w:rPr>
            </w:pPr>
          </w:p>
          <w:p>
            <w:pPr>
              <w:pStyle w:val="12"/>
              <w:ind w:left="192" w:right="183"/>
              <w:jc w:val="center"/>
              <w:rPr>
                <w:sz w:val="18"/>
              </w:rPr>
            </w:pPr>
            <w:r>
              <w:rPr>
                <w:sz w:val="18"/>
              </w:rPr>
              <w:t>定性</w:t>
            </w:r>
          </w:p>
        </w:tc>
        <w:tc>
          <w:tcPr>
            <w:tcW w:w="400" w:type="dxa"/>
          </w:tcPr>
          <w:p>
            <w:pPr>
              <w:pStyle w:val="12"/>
              <w:rPr>
                <w:rFonts w:ascii="Times New Roman"/>
                <w:sz w:val="18"/>
              </w:rPr>
            </w:pPr>
          </w:p>
        </w:tc>
        <w:tc>
          <w:tcPr>
            <w:tcW w:w="634" w:type="dxa"/>
          </w:tcPr>
          <w:p>
            <w:pPr>
              <w:pStyle w:val="12"/>
              <w:spacing w:before="11"/>
              <w:rPr>
                <w:rFonts w:ascii="仿宋"/>
                <w:sz w:val="16"/>
              </w:rPr>
            </w:pPr>
          </w:p>
          <w:p>
            <w:pPr>
              <w:pStyle w:val="12"/>
              <w:ind w:left="116" w:right="107"/>
              <w:jc w:val="center"/>
              <w:rPr>
                <w:sz w:val="18"/>
              </w:rPr>
            </w:pPr>
            <w:r>
              <w:rPr>
                <w:sz w:val="18"/>
              </w:rPr>
              <w:t>87%</w:t>
            </w:r>
          </w:p>
        </w:tc>
        <w:tc>
          <w:tcPr>
            <w:tcW w:w="681" w:type="dxa"/>
          </w:tcPr>
          <w:p>
            <w:pPr>
              <w:pStyle w:val="12"/>
              <w:spacing w:before="11"/>
              <w:rPr>
                <w:rFonts w:ascii="仿宋"/>
                <w:sz w:val="16"/>
              </w:rPr>
            </w:pPr>
          </w:p>
          <w:p>
            <w:pPr>
              <w:pStyle w:val="12"/>
              <w:ind w:right="193"/>
              <w:jc w:val="right"/>
              <w:rPr>
                <w:sz w:val="18"/>
              </w:rPr>
            </w:pPr>
            <w:r>
              <w:rPr>
                <w:sz w:val="18"/>
              </w:rPr>
              <w:t>87%</w:t>
            </w:r>
          </w:p>
        </w:tc>
        <w:tc>
          <w:tcPr>
            <w:tcW w:w="620" w:type="dxa"/>
          </w:tcPr>
          <w:p>
            <w:pPr>
              <w:pStyle w:val="12"/>
              <w:rPr>
                <w:rFonts w:ascii="Times New Roman"/>
                <w:sz w:val="18"/>
              </w:rPr>
            </w:pPr>
          </w:p>
        </w:tc>
        <w:tc>
          <w:tcPr>
            <w:tcW w:w="775" w:type="dxa"/>
          </w:tcPr>
          <w:p>
            <w:pPr>
              <w:pStyle w:val="12"/>
              <w:spacing w:before="11"/>
              <w:rPr>
                <w:rFonts w:ascii="仿宋"/>
                <w:sz w:val="16"/>
              </w:rPr>
            </w:pPr>
          </w:p>
          <w:p>
            <w:pPr>
              <w:pStyle w:val="12"/>
              <w:ind w:left="8"/>
              <w:jc w:val="center"/>
              <w:rPr>
                <w:sz w:val="18"/>
              </w:rPr>
            </w:pPr>
            <w:r>
              <w:rPr>
                <w:sz w:val="18"/>
              </w:rPr>
              <w:t>5</w:t>
            </w:r>
          </w:p>
        </w:tc>
        <w:tc>
          <w:tcPr>
            <w:tcW w:w="437" w:type="dxa"/>
          </w:tcPr>
          <w:p>
            <w:pPr>
              <w:pStyle w:val="12"/>
              <w:spacing w:before="11"/>
              <w:rPr>
                <w:rFonts w:ascii="仿宋"/>
                <w:sz w:val="16"/>
              </w:rPr>
            </w:pPr>
          </w:p>
          <w:p>
            <w:pPr>
              <w:pStyle w:val="12"/>
              <w:ind w:left="6"/>
              <w:jc w:val="center"/>
              <w:rPr>
                <w:sz w:val="18"/>
              </w:rPr>
            </w:pPr>
            <w:r>
              <w:rPr>
                <w:sz w:val="18"/>
              </w:rPr>
              <w:t>5</w:t>
            </w:r>
          </w:p>
        </w:tc>
        <w:tc>
          <w:tcPr>
            <w:tcW w:w="666" w:type="dxa"/>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86" w:type="dxa"/>
            <w:vMerge w:val="continue"/>
            <w:tcBorders>
              <w:top w:val="nil"/>
            </w:tcBorders>
          </w:tcPr>
          <w:p>
            <w:pPr>
              <w:rPr>
                <w:sz w:val="2"/>
                <w:szCs w:val="2"/>
              </w:rPr>
            </w:pPr>
          </w:p>
        </w:tc>
        <w:tc>
          <w:tcPr>
            <w:tcW w:w="960" w:type="dxa"/>
            <w:vMerge w:val="continue"/>
            <w:tcBorders>
              <w:top w:val="nil"/>
            </w:tcBorders>
          </w:tcPr>
          <w:p>
            <w:pPr>
              <w:rPr>
                <w:sz w:val="2"/>
                <w:szCs w:val="2"/>
              </w:rPr>
            </w:pPr>
          </w:p>
        </w:tc>
        <w:tc>
          <w:tcPr>
            <w:tcW w:w="880" w:type="dxa"/>
            <w:vMerge w:val="restart"/>
          </w:tcPr>
          <w:p>
            <w:pPr>
              <w:pStyle w:val="12"/>
              <w:rPr>
                <w:rFonts w:ascii="仿宋"/>
                <w:sz w:val="18"/>
              </w:rPr>
            </w:pPr>
          </w:p>
          <w:p>
            <w:pPr>
              <w:pStyle w:val="12"/>
              <w:spacing w:before="11"/>
              <w:rPr>
                <w:rFonts w:ascii="仿宋"/>
                <w:sz w:val="18"/>
              </w:rPr>
            </w:pPr>
          </w:p>
          <w:p>
            <w:pPr>
              <w:pStyle w:val="12"/>
              <w:spacing w:line="242" w:lineRule="auto"/>
              <w:ind w:left="260" w:right="159" w:hanging="92"/>
              <w:rPr>
                <w:sz w:val="18"/>
              </w:rPr>
            </w:pPr>
            <w:r>
              <w:rPr>
                <w:sz w:val="18"/>
              </w:rPr>
              <w:t>可持续影响</w:t>
            </w:r>
          </w:p>
        </w:tc>
        <w:tc>
          <w:tcPr>
            <w:tcW w:w="1160" w:type="dxa"/>
          </w:tcPr>
          <w:p>
            <w:pPr>
              <w:pStyle w:val="12"/>
              <w:spacing w:before="2" w:line="230" w:lineRule="atLeast"/>
              <w:ind w:left="128" w:right="119"/>
              <w:jc w:val="center"/>
              <w:rPr>
                <w:sz w:val="18"/>
              </w:rPr>
            </w:pPr>
            <w:r>
              <w:rPr>
                <w:sz w:val="18"/>
              </w:rPr>
              <w:t>农村牧区环境持续向好率</w:t>
            </w:r>
          </w:p>
        </w:tc>
        <w:tc>
          <w:tcPr>
            <w:tcW w:w="785" w:type="dxa"/>
          </w:tcPr>
          <w:p>
            <w:pPr>
              <w:pStyle w:val="12"/>
              <w:spacing w:before="4"/>
              <w:rPr>
                <w:rFonts w:ascii="仿宋"/>
                <w:sz w:val="18"/>
              </w:rPr>
            </w:pPr>
          </w:p>
          <w:p>
            <w:pPr>
              <w:pStyle w:val="12"/>
              <w:ind w:left="192" w:right="183"/>
              <w:jc w:val="center"/>
              <w:rPr>
                <w:sz w:val="18"/>
              </w:rPr>
            </w:pPr>
            <w:r>
              <w:rPr>
                <w:sz w:val="18"/>
              </w:rPr>
              <w:t>定性</w:t>
            </w:r>
          </w:p>
        </w:tc>
        <w:tc>
          <w:tcPr>
            <w:tcW w:w="400" w:type="dxa"/>
          </w:tcPr>
          <w:p>
            <w:pPr>
              <w:pStyle w:val="12"/>
              <w:rPr>
                <w:rFonts w:ascii="Times New Roman"/>
                <w:sz w:val="18"/>
              </w:rPr>
            </w:pPr>
          </w:p>
        </w:tc>
        <w:tc>
          <w:tcPr>
            <w:tcW w:w="634" w:type="dxa"/>
          </w:tcPr>
          <w:p>
            <w:pPr>
              <w:pStyle w:val="12"/>
              <w:spacing w:before="4"/>
              <w:rPr>
                <w:rFonts w:ascii="仿宋"/>
                <w:sz w:val="18"/>
              </w:rPr>
            </w:pPr>
          </w:p>
          <w:p>
            <w:pPr>
              <w:pStyle w:val="12"/>
              <w:ind w:left="116" w:right="107"/>
              <w:jc w:val="center"/>
              <w:rPr>
                <w:sz w:val="18"/>
              </w:rPr>
            </w:pPr>
            <w:r>
              <w:rPr>
                <w:sz w:val="18"/>
              </w:rPr>
              <w:t>100%</w:t>
            </w:r>
          </w:p>
        </w:tc>
        <w:tc>
          <w:tcPr>
            <w:tcW w:w="681" w:type="dxa"/>
          </w:tcPr>
          <w:p>
            <w:pPr>
              <w:pStyle w:val="12"/>
              <w:spacing w:before="4"/>
              <w:rPr>
                <w:rFonts w:ascii="仿宋"/>
                <w:sz w:val="18"/>
              </w:rPr>
            </w:pPr>
          </w:p>
          <w:p>
            <w:pPr>
              <w:pStyle w:val="12"/>
              <w:ind w:right="148"/>
              <w:jc w:val="right"/>
              <w:rPr>
                <w:sz w:val="18"/>
              </w:rPr>
            </w:pPr>
            <w:r>
              <w:rPr>
                <w:sz w:val="18"/>
              </w:rPr>
              <w:t>100%</w:t>
            </w:r>
          </w:p>
        </w:tc>
        <w:tc>
          <w:tcPr>
            <w:tcW w:w="620" w:type="dxa"/>
          </w:tcPr>
          <w:p>
            <w:pPr>
              <w:pStyle w:val="12"/>
              <w:rPr>
                <w:rFonts w:ascii="Times New Roman"/>
                <w:sz w:val="18"/>
              </w:rPr>
            </w:pPr>
          </w:p>
        </w:tc>
        <w:tc>
          <w:tcPr>
            <w:tcW w:w="775" w:type="dxa"/>
          </w:tcPr>
          <w:p>
            <w:pPr>
              <w:pStyle w:val="12"/>
              <w:spacing w:before="4"/>
              <w:rPr>
                <w:rFonts w:ascii="仿宋"/>
                <w:sz w:val="18"/>
              </w:rPr>
            </w:pPr>
          </w:p>
          <w:p>
            <w:pPr>
              <w:pStyle w:val="12"/>
              <w:ind w:left="8"/>
              <w:jc w:val="center"/>
              <w:rPr>
                <w:sz w:val="18"/>
              </w:rPr>
            </w:pPr>
            <w:r>
              <w:rPr>
                <w:sz w:val="18"/>
              </w:rPr>
              <w:t>8</w:t>
            </w:r>
          </w:p>
        </w:tc>
        <w:tc>
          <w:tcPr>
            <w:tcW w:w="437" w:type="dxa"/>
          </w:tcPr>
          <w:p>
            <w:pPr>
              <w:pStyle w:val="12"/>
              <w:spacing w:before="4"/>
              <w:rPr>
                <w:rFonts w:ascii="仿宋"/>
                <w:sz w:val="18"/>
              </w:rPr>
            </w:pPr>
          </w:p>
          <w:p>
            <w:pPr>
              <w:pStyle w:val="12"/>
              <w:ind w:left="6"/>
              <w:jc w:val="center"/>
              <w:rPr>
                <w:sz w:val="18"/>
              </w:rPr>
            </w:pPr>
            <w:r>
              <w:rPr>
                <w:sz w:val="18"/>
              </w:rPr>
              <w:t>8</w:t>
            </w:r>
          </w:p>
        </w:tc>
        <w:tc>
          <w:tcPr>
            <w:tcW w:w="666" w:type="dxa"/>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786" w:type="dxa"/>
            <w:vMerge w:val="continue"/>
            <w:tcBorders>
              <w:top w:val="nil"/>
            </w:tcBorders>
          </w:tcPr>
          <w:p>
            <w:pPr>
              <w:rPr>
                <w:sz w:val="2"/>
                <w:szCs w:val="2"/>
              </w:rPr>
            </w:pPr>
          </w:p>
        </w:tc>
        <w:tc>
          <w:tcPr>
            <w:tcW w:w="960" w:type="dxa"/>
            <w:vMerge w:val="continue"/>
            <w:tcBorders>
              <w:top w:val="nil"/>
            </w:tcBorders>
          </w:tcPr>
          <w:p>
            <w:pPr>
              <w:rPr>
                <w:sz w:val="2"/>
                <w:szCs w:val="2"/>
              </w:rPr>
            </w:pPr>
          </w:p>
        </w:tc>
        <w:tc>
          <w:tcPr>
            <w:tcW w:w="880" w:type="dxa"/>
            <w:vMerge w:val="continue"/>
            <w:tcBorders>
              <w:top w:val="nil"/>
            </w:tcBorders>
          </w:tcPr>
          <w:p>
            <w:pPr>
              <w:rPr>
                <w:sz w:val="2"/>
                <w:szCs w:val="2"/>
              </w:rPr>
            </w:pPr>
          </w:p>
        </w:tc>
        <w:tc>
          <w:tcPr>
            <w:tcW w:w="1160" w:type="dxa"/>
          </w:tcPr>
          <w:p>
            <w:pPr>
              <w:pStyle w:val="12"/>
              <w:spacing w:before="2" w:line="230" w:lineRule="atLeast"/>
              <w:ind w:left="128" w:right="119"/>
              <w:jc w:val="center"/>
              <w:rPr>
                <w:sz w:val="18"/>
              </w:rPr>
            </w:pPr>
            <w:r>
              <w:rPr>
                <w:sz w:val="18"/>
              </w:rPr>
              <w:t>项目持续发挥作用的期限</w:t>
            </w:r>
          </w:p>
        </w:tc>
        <w:tc>
          <w:tcPr>
            <w:tcW w:w="785" w:type="dxa"/>
          </w:tcPr>
          <w:p>
            <w:pPr>
              <w:pStyle w:val="12"/>
              <w:spacing w:before="4"/>
              <w:rPr>
                <w:rFonts w:ascii="仿宋"/>
                <w:sz w:val="18"/>
              </w:rPr>
            </w:pPr>
          </w:p>
          <w:p>
            <w:pPr>
              <w:pStyle w:val="12"/>
              <w:ind w:left="192" w:right="183"/>
              <w:jc w:val="center"/>
              <w:rPr>
                <w:sz w:val="18"/>
              </w:rPr>
            </w:pPr>
            <w:r>
              <w:rPr>
                <w:sz w:val="18"/>
              </w:rPr>
              <w:t>定性</w:t>
            </w:r>
          </w:p>
        </w:tc>
        <w:tc>
          <w:tcPr>
            <w:tcW w:w="400" w:type="dxa"/>
          </w:tcPr>
          <w:p>
            <w:pPr>
              <w:pStyle w:val="12"/>
              <w:rPr>
                <w:rFonts w:ascii="Times New Roman"/>
                <w:sz w:val="18"/>
              </w:rPr>
            </w:pPr>
          </w:p>
        </w:tc>
        <w:tc>
          <w:tcPr>
            <w:tcW w:w="634" w:type="dxa"/>
          </w:tcPr>
          <w:p>
            <w:pPr>
              <w:pStyle w:val="12"/>
              <w:spacing w:before="4"/>
              <w:rPr>
                <w:rFonts w:ascii="仿宋"/>
                <w:sz w:val="18"/>
              </w:rPr>
            </w:pPr>
          </w:p>
          <w:p>
            <w:pPr>
              <w:pStyle w:val="12"/>
              <w:ind w:left="115" w:right="107"/>
              <w:jc w:val="center"/>
              <w:rPr>
                <w:sz w:val="18"/>
              </w:rPr>
            </w:pPr>
            <w:r>
              <w:rPr>
                <w:sz w:val="18"/>
              </w:rPr>
              <w:t>7 年</w:t>
            </w:r>
          </w:p>
        </w:tc>
        <w:tc>
          <w:tcPr>
            <w:tcW w:w="681" w:type="dxa"/>
          </w:tcPr>
          <w:p>
            <w:pPr>
              <w:pStyle w:val="12"/>
              <w:spacing w:before="4"/>
              <w:rPr>
                <w:rFonts w:ascii="仿宋"/>
                <w:sz w:val="18"/>
              </w:rPr>
            </w:pPr>
          </w:p>
          <w:p>
            <w:pPr>
              <w:pStyle w:val="12"/>
              <w:ind w:right="171"/>
              <w:jc w:val="right"/>
              <w:rPr>
                <w:sz w:val="18"/>
              </w:rPr>
            </w:pPr>
            <w:r>
              <w:rPr>
                <w:sz w:val="18"/>
              </w:rPr>
              <w:t>7 年</w:t>
            </w:r>
          </w:p>
        </w:tc>
        <w:tc>
          <w:tcPr>
            <w:tcW w:w="620" w:type="dxa"/>
          </w:tcPr>
          <w:p>
            <w:pPr>
              <w:pStyle w:val="12"/>
              <w:rPr>
                <w:rFonts w:ascii="Times New Roman"/>
                <w:sz w:val="18"/>
              </w:rPr>
            </w:pPr>
          </w:p>
        </w:tc>
        <w:tc>
          <w:tcPr>
            <w:tcW w:w="775" w:type="dxa"/>
          </w:tcPr>
          <w:p>
            <w:pPr>
              <w:pStyle w:val="12"/>
              <w:spacing w:before="4"/>
              <w:rPr>
                <w:rFonts w:ascii="仿宋"/>
                <w:sz w:val="18"/>
              </w:rPr>
            </w:pPr>
          </w:p>
          <w:p>
            <w:pPr>
              <w:pStyle w:val="12"/>
              <w:ind w:left="8"/>
              <w:jc w:val="center"/>
              <w:rPr>
                <w:sz w:val="18"/>
              </w:rPr>
            </w:pPr>
            <w:r>
              <w:rPr>
                <w:sz w:val="18"/>
              </w:rPr>
              <w:t>5</w:t>
            </w:r>
          </w:p>
        </w:tc>
        <w:tc>
          <w:tcPr>
            <w:tcW w:w="437" w:type="dxa"/>
          </w:tcPr>
          <w:p>
            <w:pPr>
              <w:pStyle w:val="12"/>
              <w:spacing w:before="4"/>
              <w:rPr>
                <w:rFonts w:ascii="仿宋"/>
                <w:sz w:val="18"/>
              </w:rPr>
            </w:pPr>
          </w:p>
          <w:p>
            <w:pPr>
              <w:pStyle w:val="12"/>
              <w:ind w:left="6"/>
              <w:jc w:val="center"/>
              <w:rPr>
                <w:sz w:val="18"/>
              </w:rPr>
            </w:pPr>
            <w:r>
              <w:rPr>
                <w:sz w:val="18"/>
              </w:rPr>
              <w:t>5</w:t>
            </w:r>
          </w:p>
        </w:tc>
        <w:tc>
          <w:tcPr>
            <w:tcW w:w="666" w:type="dxa"/>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86" w:type="dxa"/>
            <w:vMerge w:val="continue"/>
            <w:tcBorders>
              <w:top w:val="nil"/>
            </w:tcBorders>
          </w:tcPr>
          <w:p>
            <w:pPr>
              <w:rPr>
                <w:sz w:val="2"/>
                <w:szCs w:val="2"/>
              </w:rPr>
            </w:pPr>
          </w:p>
        </w:tc>
        <w:tc>
          <w:tcPr>
            <w:tcW w:w="960" w:type="dxa"/>
          </w:tcPr>
          <w:p>
            <w:pPr>
              <w:pStyle w:val="12"/>
              <w:spacing w:before="117" w:line="242" w:lineRule="auto"/>
              <w:ind w:left="389" w:right="109" w:hanging="272"/>
              <w:rPr>
                <w:sz w:val="18"/>
              </w:rPr>
            </w:pPr>
            <w:r>
              <w:rPr>
                <w:sz w:val="18"/>
              </w:rPr>
              <w:t>满意度指标</w:t>
            </w:r>
          </w:p>
        </w:tc>
        <w:tc>
          <w:tcPr>
            <w:tcW w:w="880" w:type="dxa"/>
          </w:tcPr>
          <w:p>
            <w:pPr>
              <w:pStyle w:val="12"/>
              <w:spacing w:before="1" w:line="242" w:lineRule="auto"/>
              <w:ind w:left="168" w:right="159"/>
              <w:jc w:val="center"/>
              <w:rPr>
                <w:sz w:val="18"/>
              </w:rPr>
            </w:pPr>
            <w:r>
              <w:rPr>
                <w:sz w:val="18"/>
              </w:rPr>
              <w:t>服务对象满意</w:t>
            </w:r>
          </w:p>
          <w:p>
            <w:pPr>
              <w:pStyle w:val="12"/>
              <w:spacing w:line="212" w:lineRule="exact"/>
              <w:ind w:left="7"/>
              <w:jc w:val="center"/>
              <w:rPr>
                <w:sz w:val="18"/>
              </w:rPr>
            </w:pPr>
            <w:r>
              <w:rPr>
                <w:sz w:val="18"/>
              </w:rPr>
              <w:t>度</w:t>
            </w:r>
          </w:p>
        </w:tc>
        <w:tc>
          <w:tcPr>
            <w:tcW w:w="1160" w:type="dxa"/>
          </w:tcPr>
          <w:p>
            <w:pPr>
              <w:pStyle w:val="12"/>
              <w:spacing w:before="117" w:line="242" w:lineRule="auto"/>
              <w:ind w:left="488" w:right="119" w:hanging="360"/>
              <w:rPr>
                <w:sz w:val="18"/>
              </w:rPr>
            </w:pPr>
            <w:r>
              <w:rPr>
                <w:sz w:val="18"/>
              </w:rPr>
              <w:t>农牧民满意度</w:t>
            </w:r>
          </w:p>
        </w:tc>
        <w:tc>
          <w:tcPr>
            <w:tcW w:w="785" w:type="dxa"/>
          </w:tcPr>
          <w:p>
            <w:pPr>
              <w:pStyle w:val="12"/>
              <w:spacing w:before="3"/>
              <w:rPr>
                <w:rFonts w:ascii="仿宋"/>
                <w:sz w:val="18"/>
              </w:rPr>
            </w:pPr>
          </w:p>
          <w:p>
            <w:pPr>
              <w:pStyle w:val="12"/>
              <w:spacing w:before="1"/>
              <w:ind w:left="192" w:right="183"/>
              <w:jc w:val="center"/>
              <w:rPr>
                <w:sz w:val="18"/>
              </w:rPr>
            </w:pPr>
            <w:r>
              <w:rPr>
                <w:sz w:val="18"/>
              </w:rPr>
              <w:t>定性</w:t>
            </w:r>
          </w:p>
        </w:tc>
        <w:tc>
          <w:tcPr>
            <w:tcW w:w="400" w:type="dxa"/>
          </w:tcPr>
          <w:p>
            <w:pPr>
              <w:pStyle w:val="12"/>
              <w:rPr>
                <w:rFonts w:ascii="Times New Roman"/>
                <w:sz w:val="18"/>
              </w:rPr>
            </w:pPr>
          </w:p>
        </w:tc>
        <w:tc>
          <w:tcPr>
            <w:tcW w:w="634" w:type="dxa"/>
          </w:tcPr>
          <w:p>
            <w:pPr>
              <w:pStyle w:val="12"/>
              <w:spacing w:before="3"/>
              <w:rPr>
                <w:rFonts w:ascii="仿宋"/>
                <w:sz w:val="18"/>
              </w:rPr>
            </w:pPr>
          </w:p>
          <w:p>
            <w:pPr>
              <w:pStyle w:val="12"/>
              <w:spacing w:before="1"/>
              <w:ind w:left="116" w:right="107"/>
              <w:jc w:val="center"/>
              <w:rPr>
                <w:sz w:val="18"/>
              </w:rPr>
            </w:pPr>
            <w:r>
              <w:rPr>
                <w:sz w:val="18"/>
              </w:rPr>
              <w:t>100%</w:t>
            </w:r>
          </w:p>
        </w:tc>
        <w:tc>
          <w:tcPr>
            <w:tcW w:w="681" w:type="dxa"/>
          </w:tcPr>
          <w:p>
            <w:pPr>
              <w:pStyle w:val="12"/>
              <w:spacing w:before="3"/>
              <w:rPr>
                <w:rFonts w:ascii="仿宋"/>
                <w:sz w:val="18"/>
              </w:rPr>
            </w:pPr>
          </w:p>
          <w:p>
            <w:pPr>
              <w:pStyle w:val="12"/>
              <w:spacing w:before="1"/>
              <w:ind w:right="148"/>
              <w:jc w:val="right"/>
              <w:rPr>
                <w:sz w:val="18"/>
              </w:rPr>
            </w:pPr>
            <w:r>
              <w:rPr>
                <w:sz w:val="18"/>
              </w:rPr>
              <w:t>100%</w:t>
            </w:r>
          </w:p>
        </w:tc>
        <w:tc>
          <w:tcPr>
            <w:tcW w:w="620" w:type="dxa"/>
          </w:tcPr>
          <w:p>
            <w:pPr>
              <w:pStyle w:val="12"/>
              <w:rPr>
                <w:rFonts w:ascii="Times New Roman"/>
                <w:sz w:val="18"/>
              </w:rPr>
            </w:pPr>
          </w:p>
        </w:tc>
        <w:tc>
          <w:tcPr>
            <w:tcW w:w="775" w:type="dxa"/>
          </w:tcPr>
          <w:p>
            <w:pPr>
              <w:pStyle w:val="12"/>
              <w:spacing w:before="3"/>
              <w:rPr>
                <w:rFonts w:ascii="仿宋"/>
                <w:sz w:val="18"/>
              </w:rPr>
            </w:pPr>
          </w:p>
          <w:p>
            <w:pPr>
              <w:pStyle w:val="12"/>
              <w:spacing w:before="1"/>
              <w:ind w:left="230" w:right="222"/>
              <w:jc w:val="center"/>
              <w:rPr>
                <w:sz w:val="18"/>
              </w:rPr>
            </w:pPr>
            <w:r>
              <w:rPr>
                <w:sz w:val="18"/>
              </w:rPr>
              <w:t>10</w:t>
            </w:r>
          </w:p>
        </w:tc>
        <w:tc>
          <w:tcPr>
            <w:tcW w:w="437" w:type="dxa"/>
          </w:tcPr>
          <w:p>
            <w:pPr>
              <w:pStyle w:val="12"/>
              <w:spacing w:before="3"/>
              <w:rPr>
                <w:rFonts w:ascii="仿宋"/>
                <w:sz w:val="18"/>
              </w:rPr>
            </w:pPr>
          </w:p>
          <w:p>
            <w:pPr>
              <w:pStyle w:val="12"/>
              <w:spacing w:before="1"/>
              <w:ind w:left="108" w:right="98"/>
              <w:jc w:val="center"/>
              <w:rPr>
                <w:sz w:val="18"/>
              </w:rPr>
            </w:pPr>
            <w:r>
              <w:rPr>
                <w:sz w:val="18"/>
              </w:rPr>
              <w:t>10</w:t>
            </w:r>
          </w:p>
        </w:tc>
        <w:tc>
          <w:tcPr>
            <w:tcW w:w="666" w:type="dxa"/>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906" w:type="dxa"/>
            <w:gridSpan w:val="9"/>
          </w:tcPr>
          <w:p>
            <w:pPr>
              <w:pStyle w:val="12"/>
              <w:spacing w:before="115"/>
              <w:ind w:left="3253" w:right="3243"/>
              <w:jc w:val="center"/>
              <w:rPr>
                <w:sz w:val="18"/>
              </w:rPr>
            </w:pPr>
            <w:r>
              <w:rPr>
                <w:sz w:val="18"/>
              </w:rPr>
              <w:t>总分</w:t>
            </w:r>
          </w:p>
        </w:tc>
        <w:tc>
          <w:tcPr>
            <w:tcW w:w="775" w:type="dxa"/>
          </w:tcPr>
          <w:p>
            <w:pPr>
              <w:pStyle w:val="12"/>
              <w:spacing w:before="115"/>
              <w:ind w:left="230" w:right="224"/>
              <w:jc w:val="center"/>
              <w:rPr>
                <w:sz w:val="18"/>
              </w:rPr>
            </w:pPr>
            <w:r>
              <w:rPr>
                <w:sz w:val="18"/>
              </w:rPr>
              <w:t>100</w:t>
            </w:r>
          </w:p>
        </w:tc>
        <w:tc>
          <w:tcPr>
            <w:tcW w:w="437" w:type="dxa"/>
          </w:tcPr>
          <w:p>
            <w:pPr>
              <w:pStyle w:val="12"/>
              <w:spacing w:before="115"/>
              <w:ind w:left="108" w:right="98"/>
              <w:jc w:val="center"/>
              <w:rPr>
                <w:sz w:val="18"/>
              </w:rPr>
            </w:pPr>
            <w:r>
              <w:rPr>
                <w:sz w:val="18"/>
              </w:rPr>
              <w:t>95</w:t>
            </w:r>
          </w:p>
        </w:tc>
        <w:tc>
          <w:tcPr>
            <w:tcW w:w="666" w:type="dxa"/>
          </w:tcPr>
          <w:p>
            <w:pPr>
              <w:pStyle w:val="12"/>
              <w:rPr>
                <w:rFonts w:ascii="Times New Roman"/>
                <w:sz w:val="18"/>
              </w:rPr>
            </w:pPr>
          </w:p>
        </w:tc>
      </w:tr>
    </w:tbl>
    <w:p>
      <w:pPr>
        <w:pStyle w:val="5"/>
        <w:spacing w:before="1" w:line="328" w:lineRule="auto"/>
        <w:ind w:right="1419"/>
        <w:jc w:val="both"/>
      </w:pPr>
    </w:p>
    <w:p>
      <w:pPr>
        <w:pStyle w:val="5"/>
        <w:spacing w:before="1" w:line="328" w:lineRule="auto"/>
        <w:ind w:right="1419"/>
        <w:jc w:val="both"/>
      </w:pPr>
    </w:p>
    <w:p>
      <w:pPr>
        <w:pStyle w:val="5"/>
        <w:spacing w:before="9"/>
        <w:rPr>
          <w:sz w:val="17"/>
        </w:rPr>
      </w:pPr>
    </w:p>
    <w:p>
      <w:pPr>
        <w:spacing w:before="3" w:line="302" w:lineRule="exact"/>
        <w:ind w:left="1238" w:right="0" w:firstLine="0"/>
        <w:jc w:val="left"/>
        <w:rPr>
          <w:rFonts w:hint="eastAsia" w:ascii="微软雅黑" w:eastAsia="微软雅黑"/>
          <w:sz w:val="18"/>
        </w:rPr>
      </w:pPr>
      <w:r>
        <w:drawing>
          <wp:anchor distT="0" distB="0" distL="0" distR="0" simplePos="0" relativeHeight="251660288" behindDoc="0" locked="0" layoutInCell="1" allowOverlap="1">
            <wp:simplePos x="0" y="0"/>
            <wp:positionH relativeFrom="page">
              <wp:posOffset>3040380</wp:posOffset>
            </wp:positionH>
            <wp:positionV relativeFrom="paragraph">
              <wp:posOffset>40005</wp:posOffset>
            </wp:positionV>
            <wp:extent cx="304800" cy="304800"/>
            <wp:effectExtent l="0" t="0" r="0" b="0"/>
            <wp:wrapTopAndBottom/>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pic:cNvPicPr>
                      <a:picLocks noChangeAspect="1"/>
                    </pic:cNvPicPr>
                  </pic:nvPicPr>
                  <pic:blipFill>
                    <a:blip r:embed="rId8" cstate="print"/>
                    <a:stretch>
                      <a:fillRect/>
                    </a:stretch>
                  </pic:blipFill>
                  <pic:spPr>
                    <a:xfrm>
                      <a:off x="0" y="0"/>
                      <a:ext cx="304584" cy="304800"/>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2106930</wp:posOffset>
            </wp:positionH>
            <wp:positionV relativeFrom="paragraph">
              <wp:posOffset>13335</wp:posOffset>
            </wp:positionV>
            <wp:extent cx="304800" cy="30480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8" cstate="print"/>
                    <a:stretch>
                      <a:fillRect/>
                    </a:stretch>
                  </pic:blipFill>
                  <pic:spPr>
                    <a:xfrm>
                      <a:off x="0" y="0"/>
                      <a:ext cx="304800" cy="304800"/>
                    </a:xfrm>
                    <a:prstGeom prst="rect">
                      <a:avLst/>
                    </a:prstGeom>
                  </pic:spPr>
                </pic:pic>
              </a:graphicData>
            </a:graphic>
          </wp:anchor>
        </w:drawing>
      </w:r>
      <w:r>
        <w:rPr>
          <w:rFonts w:hint="eastAsia" w:ascii="微软雅黑" w:eastAsia="微软雅黑"/>
          <w:sz w:val="18"/>
        </w:rPr>
        <w:t>2021年厕所革命 2022乡村振兴人</w:t>
      </w:r>
    </w:p>
    <w:p>
      <w:pPr>
        <w:spacing w:before="0" w:line="285" w:lineRule="exact"/>
        <w:ind w:left="1178" w:right="0" w:firstLine="0"/>
        <w:jc w:val="left"/>
        <w:rPr>
          <w:rFonts w:hint="eastAsia" w:ascii="微软雅黑" w:eastAsia="微软雅黑"/>
          <w:sz w:val="18"/>
        </w:rPr>
      </w:pPr>
      <w:r>
        <w:rPr>
          <w:rFonts w:hint="eastAsia" w:ascii="微软雅黑" w:eastAsia="微软雅黑"/>
          <w:sz w:val="18"/>
        </w:rPr>
        <w:t>工作经费项目绩效居环境整治及厕所</w:t>
      </w:r>
    </w:p>
    <w:p>
      <w:pPr>
        <w:spacing w:after="0" w:line="285" w:lineRule="exact"/>
        <w:jc w:val="left"/>
        <w:rPr>
          <w:rFonts w:hint="eastAsia" w:ascii="微软雅黑" w:eastAsia="微软雅黑"/>
          <w:sz w:val="18"/>
        </w:rPr>
        <w:sectPr>
          <w:pgSz w:w="11920" w:h="16860"/>
          <w:pgMar w:top="1500" w:right="380" w:bottom="280" w:left="1660" w:header="720" w:footer="720" w:gutter="0"/>
          <w:pgBorders>
            <w:top w:val="none" w:sz="0" w:space="0"/>
            <w:left w:val="none" w:sz="0" w:space="0"/>
            <w:bottom w:val="none" w:sz="0" w:space="0"/>
            <w:right w:val="none" w:sz="0" w:space="0"/>
          </w:pgBorders>
          <w:cols w:space="720" w:num="1"/>
        </w:sectPr>
      </w:pPr>
    </w:p>
    <w:p>
      <w:pPr>
        <w:pStyle w:val="5"/>
        <w:spacing w:before="39" w:line="326" w:lineRule="auto"/>
        <w:ind w:left="140" w:right="1419" w:firstLine="640"/>
        <w:jc w:val="both"/>
        <w:rPr>
          <w:spacing w:val="5"/>
        </w:rPr>
      </w:pPr>
      <w:r>
        <w:rPr>
          <w:spacing w:val="15"/>
          <w:w w:val="95"/>
        </w:rPr>
        <w:t>以包联</w:t>
      </w:r>
      <w:r>
        <w:rPr>
          <w:spacing w:val="14"/>
          <w:w w:val="95"/>
        </w:rPr>
        <w:t>（小区</w:t>
      </w:r>
      <w:r>
        <w:rPr>
          <w:spacing w:val="17"/>
          <w:w w:val="95"/>
        </w:rPr>
        <w:t>）</w:t>
      </w:r>
      <w:r>
        <w:rPr>
          <w:spacing w:val="13"/>
          <w:w w:val="95"/>
        </w:rPr>
        <w:t xml:space="preserve">疫情防控经费项目为例，该项目绩效 </w:t>
      </w:r>
      <w:r>
        <w:rPr>
          <w:spacing w:val="6"/>
        </w:rPr>
        <w:t>评价综合得分为</w:t>
      </w:r>
      <w:r>
        <w:rPr>
          <w:spacing w:val="-2"/>
          <w:u w:val="single"/>
        </w:rPr>
        <w:t xml:space="preserve"> </w:t>
      </w:r>
      <w:r>
        <w:rPr>
          <w:rFonts w:ascii="Times New Roman" w:hAnsi="Times New Roman" w:eastAsia="Times New Roman"/>
          <w:u w:val="single"/>
        </w:rPr>
        <w:t>83.32</w:t>
      </w:r>
      <w:r>
        <w:rPr>
          <w:rFonts w:ascii="Times New Roman" w:hAnsi="Times New Roman" w:eastAsia="Times New Roman"/>
          <w:spacing w:val="-18"/>
        </w:rPr>
        <w:t xml:space="preserve"> </w:t>
      </w:r>
      <w:r>
        <w:rPr>
          <w:spacing w:val="7"/>
        </w:rPr>
        <w:t>分，绩效评价结果为</w:t>
      </w:r>
      <w:r>
        <w:rPr>
          <w:rFonts w:ascii="Times New Roman" w:hAnsi="Times New Roman" w:eastAsia="Times New Roman"/>
          <w:spacing w:val="2"/>
        </w:rPr>
        <w:t>“B”</w:t>
      </w:r>
      <w:r>
        <w:rPr>
          <w:spacing w:val="5"/>
        </w:rPr>
        <w:t>。重点项目绩效评价得分情况详见单位具体绩效评价结果。</w:t>
      </w:r>
    </w:p>
    <w:tbl>
      <w:tblPr>
        <w:tblStyle w:val="8"/>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741"/>
        <w:gridCol w:w="1213"/>
        <w:gridCol w:w="1079"/>
        <w:gridCol w:w="741"/>
        <w:gridCol w:w="396"/>
        <w:gridCol w:w="688"/>
        <w:gridCol w:w="576"/>
        <w:gridCol w:w="600"/>
        <w:gridCol w:w="593"/>
        <w:gridCol w:w="666"/>
        <w:gridCol w:w="446"/>
        <w:gridCol w:w="2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8509" w:type="dxa"/>
            <w:gridSpan w:val="12"/>
          </w:tcPr>
          <w:p>
            <w:pPr>
              <w:pStyle w:val="12"/>
              <w:spacing w:before="3"/>
              <w:ind w:left="2423" w:right="2421"/>
              <w:jc w:val="center"/>
              <w:rPr>
                <w:b/>
                <w:sz w:val="40"/>
              </w:rPr>
            </w:pPr>
            <w:r>
              <w:rPr>
                <w:b/>
                <w:sz w:val="40"/>
              </w:rPr>
              <w:t>项目支出绩效自评表</w:t>
            </w:r>
          </w:p>
          <w:p>
            <w:pPr>
              <w:pStyle w:val="12"/>
              <w:spacing w:before="6" w:line="496" w:lineRule="exact"/>
              <w:ind w:left="2420" w:right="2421"/>
              <w:jc w:val="center"/>
              <w:rPr>
                <w:b/>
                <w:sz w:val="40"/>
              </w:rPr>
            </w:pPr>
            <w:r>
              <w:rPr>
                <w:b/>
                <w:sz w:val="40"/>
              </w:rPr>
              <w:t>(2022</w:t>
            </w:r>
            <w:r>
              <w:rPr>
                <w:b/>
                <w:spacing w:val="-34"/>
                <w:sz w:val="40"/>
              </w:rPr>
              <w:t xml:space="preserve"> 年度</w:t>
            </w:r>
            <w:r>
              <w:rPr>
                <w:b/>
                <w:sz w:val="40"/>
              </w:rPr>
              <w:t>）</w:t>
            </w:r>
          </w:p>
        </w:tc>
        <w:tc>
          <w:tcPr>
            <w:tcW w:w="281" w:type="dxa"/>
            <w:tcBorders>
              <w:top w:val="nil"/>
              <w:right w:val="nil"/>
            </w:tcBorders>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511" w:type="dxa"/>
            <w:gridSpan w:val="2"/>
          </w:tcPr>
          <w:p>
            <w:pPr>
              <w:pStyle w:val="12"/>
              <w:spacing w:before="73"/>
              <w:ind w:left="681"/>
              <w:rPr>
                <w:sz w:val="18"/>
              </w:rPr>
            </w:pPr>
            <w:r>
              <w:rPr>
                <w:sz w:val="18"/>
              </w:rPr>
              <w:t>项目名称</w:t>
            </w:r>
          </w:p>
        </w:tc>
        <w:tc>
          <w:tcPr>
            <w:tcW w:w="7279" w:type="dxa"/>
            <w:gridSpan w:val="11"/>
          </w:tcPr>
          <w:p>
            <w:pPr>
              <w:pStyle w:val="12"/>
              <w:spacing w:before="73"/>
              <w:ind w:left="106"/>
              <w:rPr>
                <w:sz w:val="18"/>
              </w:rPr>
            </w:pPr>
            <w:r>
              <w:rPr>
                <w:sz w:val="18"/>
              </w:rPr>
              <w:t>包联（小区）疫情防控经费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511" w:type="dxa"/>
            <w:gridSpan w:val="2"/>
          </w:tcPr>
          <w:p>
            <w:pPr>
              <w:pStyle w:val="12"/>
              <w:spacing w:before="116"/>
              <w:ind w:left="681"/>
              <w:rPr>
                <w:sz w:val="18"/>
              </w:rPr>
            </w:pPr>
            <w:r>
              <w:rPr>
                <w:sz w:val="18"/>
              </w:rPr>
              <w:t>主管部门</w:t>
            </w:r>
          </w:p>
        </w:tc>
        <w:tc>
          <w:tcPr>
            <w:tcW w:w="3429" w:type="dxa"/>
            <w:gridSpan w:val="4"/>
          </w:tcPr>
          <w:p>
            <w:pPr>
              <w:pStyle w:val="12"/>
              <w:spacing w:before="116"/>
              <w:ind w:left="106"/>
              <w:rPr>
                <w:sz w:val="18"/>
              </w:rPr>
            </w:pPr>
            <w:r>
              <w:rPr>
                <w:sz w:val="18"/>
              </w:rPr>
              <w:t>锡林郭勒盟农牧局（部门）</w:t>
            </w:r>
          </w:p>
        </w:tc>
        <w:tc>
          <w:tcPr>
            <w:tcW w:w="1264" w:type="dxa"/>
            <w:gridSpan w:val="2"/>
          </w:tcPr>
          <w:p>
            <w:pPr>
              <w:pStyle w:val="12"/>
              <w:spacing w:before="116"/>
              <w:ind w:left="436"/>
              <w:rPr>
                <w:sz w:val="18"/>
              </w:rPr>
            </w:pPr>
            <w:r>
              <w:rPr>
                <w:sz w:val="18"/>
              </w:rPr>
              <w:t>实施单位</w:t>
            </w:r>
          </w:p>
        </w:tc>
        <w:tc>
          <w:tcPr>
            <w:tcW w:w="2586" w:type="dxa"/>
            <w:gridSpan w:val="5"/>
          </w:tcPr>
          <w:p>
            <w:pPr>
              <w:pStyle w:val="12"/>
              <w:ind w:left="108"/>
              <w:rPr>
                <w:sz w:val="18"/>
              </w:rPr>
            </w:pPr>
            <w:r>
              <w:rPr>
                <w:sz w:val="18"/>
              </w:rPr>
              <w:t>锡林郭勒盟农村牧区社会事业</w:t>
            </w:r>
          </w:p>
          <w:p>
            <w:pPr>
              <w:pStyle w:val="12"/>
              <w:spacing w:before="3" w:line="213" w:lineRule="exact"/>
              <w:ind w:left="108"/>
              <w:rPr>
                <w:sz w:val="18"/>
              </w:rPr>
            </w:pPr>
            <w:r>
              <w:rPr>
                <w:sz w:val="18"/>
              </w:rPr>
              <w:t>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511" w:type="dxa"/>
            <w:gridSpan w:val="2"/>
            <w:vMerge w:val="restart"/>
          </w:tcPr>
          <w:p>
            <w:pPr>
              <w:pStyle w:val="12"/>
              <w:rPr>
                <w:rFonts w:ascii="仿宋"/>
                <w:sz w:val="18"/>
              </w:rPr>
            </w:pPr>
          </w:p>
          <w:p>
            <w:pPr>
              <w:pStyle w:val="12"/>
              <w:rPr>
                <w:rFonts w:ascii="仿宋"/>
                <w:sz w:val="18"/>
              </w:rPr>
            </w:pPr>
          </w:p>
          <w:p>
            <w:pPr>
              <w:pStyle w:val="12"/>
              <w:rPr>
                <w:rFonts w:ascii="仿宋"/>
                <w:sz w:val="18"/>
              </w:rPr>
            </w:pPr>
          </w:p>
          <w:p>
            <w:pPr>
              <w:pStyle w:val="12"/>
              <w:spacing w:before="12"/>
              <w:rPr>
                <w:rFonts w:ascii="仿宋"/>
                <w:sz w:val="12"/>
              </w:rPr>
            </w:pPr>
          </w:p>
          <w:p>
            <w:pPr>
              <w:pStyle w:val="12"/>
              <w:ind w:left="393"/>
              <w:rPr>
                <w:sz w:val="18"/>
              </w:rPr>
            </w:pPr>
            <w:r>
              <w:rPr>
                <w:sz w:val="18"/>
              </w:rPr>
              <w:t>项目资金</w:t>
            </w:r>
          </w:p>
          <w:p>
            <w:pPr>
              <w:pStyle w:val="12"/>
              <w:spacing w:before="2"/>
              <w:ind w:left="393"/>
              <w:rPr>
                <w:sz w:val="18"/>
              </w:rPr>
            </w:pPr>
            <w:r>
              <w:rPr>
                <w:sz w:val="18"/>
              </w:rPr>
              <w:t>（万元）</w:t>
            </w:r>
          </w:p>
        </w:tc>
        <w:tc>
          <w:tcPr>
            <w:tcW w:w="1213" w:type="dxa"/>
          </w:tcPr>
          <w:p>
            <w:pPr>
              <w:pStyle w:val="12"/>
              <w:rPr>
                <w:rFonts w:ascii="Times New Roman"/>
                <w:sz w:val="18"/>
              </w:rPr>
            </w:pPr>
          </w:p>
        </w:tc>
        <w:tc>
          <w:tcPr>
            <w:tcW w:w="1079" w:type="dxa"/>
          </w:tcPr>
          <w:p>
            <w:pPr>
              <w:pStyle w:val="12"/>
              <w:spacing w:before="37" w:line="242" w:lineRule="auto"/>
              <w:ind w:left="279" w:right="178" w:hanging="89"/>
              <w:rPr>
                <w:sz w:val="18"/>
              </w:rPr>
            </w:pPr>
            <w:r>
              <w:rPr>
                <w:sz w:val="18"/>
              </w:rPr>
              <w:t>年初预算数</w:t>
            </w:r>
          </w:p>
        </w:tc>
        <w:tc>
          <w:tcPr>
            <w:tcW w:w="1137" w:type="dxa"/>
            <w:gridSpan w:val="2"/>
          </w:tcPr>
          <w:p>
            <w:pPr>
              <w:pStyle w:val="12"/>
              <w:spacing w:before="155"/>
              <w:ind w:left="116"/>
              <w:rPr>
                <w:sz w:val="18"/>
              </w:rPr>
            </w:pPr>
            <w:r>
              <w:rPr>
                <w:sz w:val="18"/>
              </w:rPr>
              <w:t>全年预算数</w:t>
            </w:r>
          </w:p>
        </w:tc>
        <w:tc>
          <w:tcPr>
            <w:tcW w:w="1264" w:type="dxa"/>
            <w:gridSpan w:val="2"/>
          </w:tcPr>
          <w:p>
            <w:pPr>
              <w:pStyle w:val="12"/>
              <w:spacing w:before="155"/>
              <w:ind w:left="181"/>
              <w:rPr>
                <w:sz w:val="18"/>
              </w:rPr>
            </w:pPr>
            <w:r>
              <w:rPr>
                <w:sz w:val="18"/>
              </w:rPr>
              <w:t>全年执行数</w:t>
            </w:r>
          </w:p>
        </w:tc>
        <w:tc>
          <w:tcPr>
            <w:tcW w:w="600" w:type="dxa"/>
          </w:tcPr>
          <w:p>
            <w:pPr>
              <w:pStyle w:val="12"/>
              <w:spacing w:before="155"/>
              <w:ind w:left="89" w:right="79"/>
              <w:jc w:val="center"/>
              <w:rPr>
                <w:sz w:val="18"/>
              </w:rPr>
            </w:pPr>
            <w:r>
              <w:rPr>
                <w:sz w:val="18"/>
              </w:rPr>
              <w:t>分值</w:t>
            </w:r>
          </w:p>
        </w:tc>
        <w:tc>
          <w:tcPr>
            <w:tcW w:w="1259" w:type="dxa"/>
            <w:gridSpan w:val="2"/>
          </w:tcPr>
          <w:p>
            <w:pPr>
              <w:pStyle w:val="12"/>
              <w:spacing w:before="155"/>
              <w:ind w:left="134"/>
              <w:rPr>
                <w:sz w:val="18"/>
              </w:rPr>
            </w:pPr>
            <w:r>
              <w:rPr>
                <w:sz w:val="18"/>
              </w:rPr>
              <w:t>执行率（%）</w:t>
            </w:r>
          </w:p>
        </w:tc>
        <w:tc>
          <w:tcPr>
            <w:tcW w:w="727" w:type="dxa"/>
            <w:gridSpan w:val="2"/>
          </w:tcPr>
          <w:p>
            <w:pPr>
              <w:pStyle w:val="12"/>
              <w:spacing w:before="155"/>
              <w:ind w:left="183"/>
              <w:rPr>
                <w:sz w:val="18"/>
              </w:rPr>
            </w:pPr>
            <w:r>
              <w:rPr>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511" w:type="dxa"/>
            <w:gridSpan w:val="2"/>
            <w:vMerge w:val="continue"/>
            <w:tcBorders>
              <w:top w:val="nil"/>
            </w:tcBorders>
          </w:tcPr>
          <w:p>
            <w:pPr>
              <w:rPr>
                <w:sz w:val="2"/>
                <w:szCs w:val="2"/>
              </w:rPr>
            </w:pPr>
          </w:p>
        </w:tc>
        <w:tc>
          <w:tcPr>
            <w:tcW w:w="1213" w:type="dxa"/>
          </w:tcPr>
          <w:p>
            <w:pPr>
              <w:pStyle w:val="12"/>
              <w:spacing w:before="73"/>
              <w:ind w:left="125" w:right="116"/>
              <w:jc w:val="center"/>
              <w:rPr>
                <w:sz w:val="18"/>
              </w:rPr>
            </w:pPr>
            <w:r>
              <w:rPr>
                <w:sz w:val="18"/>
              </w:rPr>
              <w:t>年度资金总额</w:t>
            </w:r>
          </w:p>
        </w:tc>
        <w:tc>
          <w:tcPr>
            <w:tcW w:w="1079" w:type="dxa"/>
          </w:tcPr>
          <w:p>
            <w:pPr>
              <w:pStyle w:val="12"/>
              <w:spacing w:before="73"/>
              <w:ind w:left="108"/>
              <w:rPr>
                <w:sz w:val="18"/>
              </w:rPr>
            </w:pPr>
            <w:r>
              <w:rPr>
                <w:sz w:val="18"/>
              </w:rPr>
              <w:t>3.46</w:t>
            </w:r>
          </w:p>
        </w:tc>
        <w:tc>
          <w:tcPr>
            <w:tcW w:w="1137" w:type="dxa"/>
            <w:gridSpan w:val="2"/>
          </w:tcPr>
          <w:p>
            <w:pPr>
              <w:pStyle w:val="12"/>
              <w:spacing w:before="73"/>
              <w:ind w:left="368" w:right="359"/>
              <w:jc w:val="center"/>
              <w:rPr>
                <w:sz w:val="18"/>
              </w:rPr>
            </w:pPr>
            <w:r>
              <w:rPr>
                <w:sz w:val="18"/>
              </w:rPr>
              <w:t>3.46</w:t>
            </w:r>
          </w:p>
        </w:tc>
        <w:tc>
          <w:tcPr>
            <w:tcW w:w="1264" w:type="dxa"/>
            <w:gridSpan w:val="2"/>
          </w:tcPr>
          <w:p>
            <w:pPr>
              <w:pStyle w:val="12"/>
              <w:spacing w:before="73"/>
              <w:ind w:left="431" w:right="423"/>
              <w:jc w:val="center"/>
              <w:rPr>
                <w:sz w:val="18"/>
              </w:rPr>
            </w:pPr>
            <w:r>
              <w:rPr>
                <w:sz w:val="18"/>
              </w:rPr>
              <w:t>1.15</w:t>
            </w:r>
          </w:p>
        </w:tc>
        <w:tc>
          <w:tcPr>
            <w:tcW w:w="600" w:type="dxa"/>
          </w:tcPr>
          <w:p>
            <w:pPr>
              <w:pStyle w:val="12"/>
              <w:spacing w:before="73"/>
              <w:ind w:left="88" w:right="79"/>
              <w:jc w:val="center"/>
              <w:rPr>
                <w:sz w:val="18"/>
              </w:rPr>
            </w:pPr>
            <w:r>
              <w:rPr>
                <w:sz w:val="18"/>
              </w:rPr>
              <w:t>10</w:t>
            </w:r>
          </w:p>
        </w:tc>
        <w:tc>
          <w:tcPr>
            <w:tcW w:w="1259" w:type="dxa"/>
            <w:gridSpan w:val="2"/>
          </w:tcPr>
          <w:p>
            <w:pPr>
              <w:pStyle w:val="12"/>
              <w:spacing w:before="73"/>
              <w:ind w:left="403"/>
              <w:rPr>
                <w:sz w:val="18"/>
              </w:rPr>
            </w:pPr>
            <w:r>
              <w:rPr>
                <w:sz w:val="18"/>
              </w:rPr>
              <w:t>33.24</w:t>
            </w:r>
          </w:p>
        </w:tc>
        <w:tc>
          <w:tcPr>
            <w:tcW w:w="727" w:type="dxa"/>
            <w:gridSpan w:val="2"/>
          </w:tcPr>
          <w:p>
            <w:pPr>
              <w:pStyle w:val="12"/>
              <w:spacing w:before="73"/>
              <w:ind w:left="183"/>
              <w:rPr>
                <w:sz w:val="18"/>
              </w:rPr>
            </w:pPr>
            <w:r>
              <w:rPr>
                <w:sz w:val="18"/>
              </w:rPr>
              <w:t>3.32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511" w:type="dxa"/>
            <w:gridSpan w:val="2"/>
            <w:vMerge w:val="continue"/>
            <w:tcBorders>
              <w:top w:val="nil"/>
            </w:tcBorders>
          </w:tcPr>
          <w:p>
            <w:pPr>
              <w:rPr>
                <w:sz w:val="2"/>
                <w:szCs w:val="2"/>
              </w:rPr>
            </w:pPr>
          </w:p>
        </w:tc>
        <w:tc>
          <w:tcPr>
            <w:tcW w:w="1213" w:type="dxa"/>
          </w:tcPr>
          <w:p>
            <w:pPr>
              <w:pStyle w:val="12"/>
              <w:spacing w:before="1"/>
              <w:ind w:left="106"/>
              <w:rPr>
                <w:sz w:val="18"/>
              </w:rPr>
            </w:pPr>
            <w:r>
              <w:rPr>
                <w:sz w:val="18"/>
              </w:rPr>
              <w:t>其中：财政拨</w:t>
            </w:r>
          </w:p>
          <w:p>
            <w:pPr>
              <w:pStyle w:val="12"/>
              <w:spacing w:before="2" w:line="213" w:lineRule="exact"/>
              <w:ind w:left="106"/>
              <w:rPr>
                <w:sz w:val="18"/>
              </w:rPr>
            </w:pPr>
            <w:r>
              <w:rPr>
                <w:sz w:val="18"/>
              </w:rPr>
              <w:t>款</w:t>
            </w:r>
          </w:p>
        </w:tc>
        <w:tc>
          <w:tcPr>
            <w:tcW w:w="1079" w:type="dxa"/>
          </w:tcPr>
          <w:p>
            <w:pPr>
              <w:pStyle w:val="12"/>
              <w:spacing w:before="116"/>
              <w:ind w:left="108"/>
              <w:rPr>
                <w:sz w:val="18"/>
              </w:rPr>
            </w:pPr>
            <w:r>
              <w:rPr>
                <w:sz w:val="18"/>
              </w:rPr>
              <w:t>3.46</w:t>
            </w:r>
          </w:p>
        </w:tc>
        <w:tc>
          <w:tcPr>
            <w:tcW w:w="1137" w:type="dxa"/>
            <w:gridSpan w:val="2"/>
          </w:tcPr>
          <w:p>
            <w:pPr>
              <w:pStyle w:val="12"/>
              <w:spacing w:before="116"/>
              <w:ind w:left="368" w:right="359"/>
              <w:jc w:val="center"/>
              <w:rPr>
                <w:sz w:val="18"/>
              </w:rPr>
            </w:pPr>
            <w:r>
              <w:rPr>
                <w:sz w:val="18"/>
              </w:rPr>
              <w:t>3.46</w:t>
            </w:r>
          </w:p>
        </w:tc>
        <w:tc>
          <w:tcPr>
            <w:tcW w:w="1264" w:type="dxa"/>
            <w:gridSpan w:val="2"/>
          </w:tcPr>
          <w:p>
            <w:pPr>
              <w:pStyle w:val="12"/>
              <w:spacing w:before="116"/>
              <w:ind w:left="431" w:right="423"/>
              <w:jc w:val="center"/>
              <w:rPr>
                <w:sz w:val="18"/>
              </w:rPr>
            </w:pPr>
            <w:r>
              <w:rPr>
                <w:sz w:val="18"/>
              </w:rPr>
              <w:t>1.15</w:t>
            </w:r>
          </w:p>
        </w:tc>
        <w:tc>
          <w:tcPr>
            <w:tcW w:w="600" w:type="dxa"/>
          </w:tcPr>
          <w:p>
            <w:pPr>
              <w:pStyle w:val="12"/>
              <w:spacing w:before="122"/>
              <w:ind w:left="90" w:right="79"/>
              <w:jc w:val="center"/>
              <w:rPr>
                <w:rFonts w:ascii="Arial" w:hAnsi="Arial"/>
                <w:sz w:val="19"/>
              </w:rPr>
            </w:pPr>
            <w:r>
              <w:rPr>
                <w:rFonts w:ascii="Arial" w:hAnsi="Arial"/>
                <w:color w:val="212121"/>
                <w:sz w:val="19"/>
              </w:rPr>
              <w:t>——</w:t>
            </w:r>
          </w:p>
        </w:tc>
        <w:tc>
          <w:tcPr>
            <w:tcW w:w="1259" w:type="dxa"/>
            <w:gridSpan w:val="2"/>
          </w:tcPr>
          <w:p>
            <w:pPr>
              <w:pStyle w:val="12"/>
              <w:spacing w:before="116"/>
              <w:ind w:left="403"/>
              <w:rPr>
                <w:sz w:val="18"/>
              </w:rPr>
            </w:pPr>
            <w:r>
              <w:rPr>
                <w:sz w:val="18"/>
              </w:rPr>
              <w:t>33.24</w:t>
            </w:r>
          </w:p>
        </w:tc>
        <w:tc>
          <w:tcPr>
            <w:tcW w:w="727" w:type="dxa"/>
            <w:gridSpan w:val="2"/>
          </w:tcPr>
          <w:p>
            <w:pPr>
              <w:pStyle w:val="12"/>
              <w:spacing w:before="122"/>
              <w:ind w:left="171"/>
              <w:rPr>
                <w:rFonts w:ascii="Arial" w:hAnsi="Arial"/>
                <w:sz w:val="19"/>
              </w:rPr>
            </w:pPr>
            <w:r>
              <w:rPr>
                <w:rFonts w:ascii="Arial" w:hAnsi="Arial"/>
                <w:color w:val="212121"/>
                <w:sz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511" w:type="dxa"/>
            <w:gridSpan w:val="2"/>
            <w:vMerge w:val="continue"/>
            <w:tcBorders>
              <w:top w:val="nil"/>
            </w:tcBorders>
          </w:tcPr>
          <w:p>
            <w:pPr>
              <w:rPr>
                <w:sz w:val="2"/>
                <w:szCs w:val="2"/>
              </w:rPr>
            </w:pPr>
          </w:p>
        </w:tc>
        <w:tc>
          <w:tcPr>
            <w:tcW w:w="1213" w:type="dxa"/>
          </w:tcPr>
          <w:p>
            <w:pPr>
              <w:pStyle w:val="12"/>
              <w:spacing w:before="73"/>
              <w:ind w:left="125" w:right="116"/>
              <w:jc w:val="center"/>
              <w:rPr>
                <w:sz w:val="18"/>
              </w:rPr>
            </w:pPr>
            <w:r>
              <w:rPr>
                <w:sz w:val="18"/>
              </w:rPr>
              <w:t>上年结转资金</w:t>
            </w:r>
          </w:p>
        </w:tc>
        <w:tc>
          <w:tcPr>
            <w:tcW w:w="1079" w:type="dxa"/>
          </w:tcPr>
          <w:p>
            <w:pPr>
              <w:pStyle w:val="12"/>
              <w:spacing w:before="73"/>
              <w:ind w:left="108"/>
              <w:rPr>
                <w:sz w:val="18"/>
              </w:rPr>
            </w:pPr>
            <w:r>
              <w:rPr>
                <w:sz w:val="18"/>
              </w:rPr>
              <w:t>0.00</w:t>
            </w:r>
          </w:p>
        </w:tc>
        <w:tc>
          <w:tcPr>
            <w:tcW w:w="1137" w:type="dxa"/>
            <w:gridSpan w:val="2"/>
          </w:tcPr>
          <w:p>
            <w:pPr>
              <w:pStyle w:val="12"/>
              <w:spacing w:before="73"/>
              <w:ind w:left="368" w:right="359"/>
              <w:jc w:val="center"/>
              <w:rPr>
                <w:sz w:val="18"/>
              </w:rPr>
            </w:pPr>
            <w:r>
              <w:rPr>
                <w:sz w:val="18"/>
              </w:rPr>
              <w:t>0.00</w:t>
            </w:r>
          </w:p>
        </w:tc>
        <w:tc>
          <w:tcPr>
            <w:tcW w:w="1264" w:type="dxa"/>
            <w:gridSpan w:val="2"/>
          </w:tcPr>
          <w:p>
            <w:pPr>
              <w:pStyle w:val="12"/>
              <w:spacing w:before="73"/>
              <w:ind w:left="431" w:right="423"/>
              <w:jc w:val="center"/>
              <w:rPr>
                <w:sz w:val="18"/>
              </w:rPr>
            </w:pPr>
            <w:r>
              <w:rPr>
                <w:sz w:val="18"/>
              </w:rPr>
              <w:t>0.00</w:t>
            </w:r>
          </w:p>
        </w:tc>
        <w:tc>
          <w:tcPr>
            <w:tcW w:w="600" w:type="dxa"/>
          </w:tcPr>
          <w:p>
            <w:pPr>
              <w:pStyle w:val="12"/>
              <w:spacing w:before="80"/>
              <w:ind w:left="90" w:right="79"/>
              <w:jc w:val="center"/>
              <w:rPr>
                <w:rFonts w:ascii="Arial" w:hAnsi="Arial"/>
                <w:sz w:val="19"/>
              </w:rPr>
            </w:pPr>
            <w:r>
              <w:rPr>
                <w:rFonts w:ascii="Arial" w:hAnsi="Arial"/>
                <w:color w:val="212121"/>
                <w:sz w:val="19"/>
              </w:rPr>
              <w:t>——</w:t>
            </w:r>
          </w:p>
        </w:tc>
        <w:tc>
          <w:tcPr>
            <w:tcW w:w="1259" w:type="dxa"/>
            <w:gridSpan w:val="2"/>
          </w:tcPr>
          <w:p>
            <w:pPr>
              <w:pStyle w:val="12"/>
              <w:spacing w:before="73"/>
              <w:ind w:left="8"/>
              <w:jc w:val="center"/>
              <w:rPr>
                <w:sz w:val="18"/>
              </w:rPr>
            </w:pPr>
            <w:r>
              <w:rPr>
                <w:sz w:val="18"/>
              </w:rPr>
              <w:t>0</w:t>
            </w:r>
          </w:p>
        </w:tc>
        <w:tc>
          <w:tcPr>
            <w:tcW w:w="727" w:type="dxa"/>
            <w:gridSpan w:val="2"/>
          </w:tcPr>
          <w:p>
            <w:pPr>
              <w:pStyle w:val="12"/>
              <w:spacing w:before="80"/>
              <w:ind w:left="171"/>
              <w:rPr>
                <w:rFonts w:ascii="Arial" w:hAnsi="Arial"/>
                <w:sz w:val="19"/>
              </w:rPr>
            </w:pPr>
            <w:r>
              <w:rPr>
                <w:rFonts w:ascii="Arial" w:hAnsi="Arial"/>
                <w:color w:val="212121"/>
                <w:sz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511" w:type="dxa"/>
            <w:gridSpan w:val="2"/>
            <w:vMerge w:val="continue"/>
            <w:tcBorders>
              <w:top w:val="nil"/>
            </w:tcBorders>
          </w:tcPr>
          <w:p>
            <w:pPr>
              <w:rPr>
                <w:sz w:val="2"/>
                <w:szCs w:val="2"/>
              </w:rPr>
            </w:pPr>
          </w:p>
        </w:tc>
        <w:tc>
          <w:tcPr>
            <w:tcW w:w="1213" w:type="dxa"/>
          </w:tcPr>
          <w:p>
            <w:pPr>
              <w:pStyle w:val="12"/>
              <w:spacing w:before="73"/>
              <w:ind w:left="125" w:right="116"/>
              <w:jc w:val="center"/>
              <w:rPr>
                <w:sz w:val="18"/>
              </w:rPr>
            </w:pPr>
            <w:r>
              <w:rPr>
                <w:sz w:val="18"/>
              </w:rPr>
              <w:t>其他资金</w:t>
            </w:r>
          </w:p>
        </w:tc>
        <w:tc>
          <w:tcPr>
            <w:tcW w:w="1079" w:type="dxa"/>
          </w:tcPr>
          <w:p>
            <w:pPr>
              <w:pStyle w:val="12"/>
              <w:spacing w:before="73"/>
              <w:ind w:left="108"/>
              <w:rPr>
                <w:sz w:val="18"/>
              </w:rPr>
            </w:pPr>
            <w:r>
              <w:rPr>
                <w:sz w:val="18"/>
              </w:rPr>
              <w:t>0.00</w:t>
            </w:r>
          </w:p>
        </w:tc>
        <w:tc>
          <w:tcPr>
            <w:tcW w:w="1137" w:type="dxa"/>
            <w:gridSpan w:val="2"/>
          </w:tcPr>
          <w:p>
            <w:pPr>
              <w:pStyle w:val="12"/>
              <w:spacing w:before="73"/>
              <w:ind w:left="368" w:right="359"/>
              <w:jc w:val="center"/>
              <w:rPr>
                <w:sz w:val="18"/>
              </w:rPr>
            </w:pPr>
            <w:r>
              <w:rPr>
                <w:sz w:val="18"/>
              </w:rPr>
              <w:t>0.00</w:t>
            </w:r>
          </w:p>
        </w:tc>
        <w:tc>
          <w:tcPr>
            <w:tcW w:w="1264" w:type="dxa"/>
            <w:gridSpan w:val="2"/>
          </w:tcPr>
          <w:p>
            <w:pPr>
              <w:pStyle w:val="12"/>
              <w:spacing w:before="73"/>
              <w:ind w:left="431" w:right="423"/>
              <w:jc w:val="center"/>
              <w:rPr>
                <w:sz w:val="18"/>
              </w:rPr>
            </w:pPr>
            <w:r>
              <w:rPr>
                <w:sz w:val="18"/>
              </w:rPr>
              <w:t>0.00</w:t>
            </w:r>
          </w:p>
        </w:tc>
        <w:tc>
          <w:tcPr>
            <w:tcW w:w="600" w:type="dxa"/>
          </w:tcPr>
          <w:p>
            <w:pPr>
              <w:pStyle w:val="12"/>
              <w:spacing w:before="79"/>
              <w:ind w:left="90" w:right="79"/>
              <w:jc w:val="center"/>
              <w:rPr>
                <w:rFonts w:ascii="Arial" w:hAnsi="Arial"/>
                <w:sz w:val="19"/>
              </w:rPr>
            </w:pPr>
            <w:r>
              <w:rPr>
                <w:rFonts w:ascii="Arial" w:hAnsi="Arial"/>
                <w:color w:val="212121"/>
                <w:sz w:val="19"/>
              </w:rPr>
              <w:t>——</w:t>
            </w:r>
          </w:p>
        </w:tc>
        <w:tc>
          <w:tcPr>
            <w:tcW w:w="1259" w:type="dxa"/>
            <w:gridSpan w:val="2"/>
          </w:tcPr>
          <w:p>
            <w:pPr>
              <w:pStyle w:val="12"/>
              <w:spacing w:before="73"/>
              <w:ind w:left="8"/>
              <w:jc w:val="center"/>
              <w:rPr>
                <w:sz w:val="18"/>
              </w:rPr>
            </w:pPr>
            <w:r>
              <w:rPr>
                <w:sz w:val="18"/>
              </w:rPr>
              <w:t>0</w:t>
            </w:r>
          </w:p>
        </w:tc>
        <w:tc>
          <w:tcPr>
            <w:tcW w:w="727" w:type="dxa"/>
            <w:gridSpan w:val="2"/>
          </w:tcPr>
          <w:p>
            <w:pPr>
              <w:pStyle w:val="12"/>
              <w:spacing w:before="79"/>
              <w:ind w:left="171"/>
              <w:rPr>
                <w:rFonts w:ascii="Arial" w:hAnsi="Arial"/>
                <w:sz w:val="19"/>
              </w:rPr>
            </w:pPr>
            <w:r>
              <w:rPr>
                <w:rFonts w:ascii="Arial" w:hAnsi="Arial"/>
                <w:color w:val="212121"/>
                <w:sz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511" w:type="dxa"/>
            <w:gridSpan w:val="2"/>
            <w:vMerge w:val="restart"/>
          </w:tcPr>
          <w:p>
            <w:pPr>
              <w:pStyle w:val="12"/>
              <w:rPr>
                <w:rFonts w:ascii="仿宋"/>
                <w:sz w:val="18"/>
              </w:rPr>
            </w:pPr>
          </w:p>
          <w:p>
            <w:pPr>
              <w:pStyle w:val="12"/>
              <w:rPr>
                <w:rFonts w:ascii="仿宋"/>
                <w:sz w:val="18"/>
              </w:rPr>
            </w:pPr>
          </w:p>
          <w:p>
            <w:pPr>
              <w:pStyle w:val="12"/>
              <w:rPr>
                <w:rFonts w:ascii="仿宋"/>
                <w:sz w:val="18"/>
              </w:rPr>
            </w:pPr>
          </w:p>
          <w:p>
            <w:pPr>
              <w:pStyle w:val="12"/>
              <w:spacing w:before="7"/>
              <w:rPr>
                <w:rFonts w:ascii="仿宋"/>
                <w:sz w:val="18"/>
              </w:rPr>
            </w:pPr>
          </w:p>
          <w:p>
            <w:pPr>
              <w:pStyle w:val="12"/>
              <w:ind w:left="213"/>
              <w:rPr>
                <w:sz w:val="18"/>
              </w:rPr>
            </w:pPr>
            <w:r>
              <w:rPr>
                <w:sz w:val="18"/>
              </w:rPr>
              <w:t>年度总体目标</w:t>
            </w:r>
          </w:p>
        </w:tc>
        <w:tc>
          <w:tcPr>
            <w:tcW w:w="4117" w:type="dxa"/>
            <w:gridSpan w:val="5"/>
          </w:tcPr>
          <w:p>
            <w:pPr>
              <w:pStyle w:val="12"/>
              <w:spacing w:before="73"/>
              <w:ind w:left="1678" w:right="1669"/>
              <w:jc w:val="center"/>
              <w:rPr>
                <w:sz w:val="18"/>
              </w:rPr>
            </w:pPr>
            <w:r>
              <w:rPr>
                <w:sz w:val="18"/>
              </w:rPr>
              <w:t>预期目标</w:t>
            </w:r>
          </w:p>
        </w:tc>
        <w:tc>
          <w:tcPr>
            <w:tcW w:w="3162" w:type="dxa"/>
            <w:gridSpan w:val="6"/>
          </w:tcPr>
          <w:p>
            <w:pPr>
              <w:pStyle w:val="12"/>
              <w:spacing w:before="73"/>
              <w:ind w:left="1039"/>
              <w:rPr>
                <w:sz w:val="18"/>
              </w:rPr>
            </w:pPr>
            <w:r>
              <w:rPr>
                <w:sz w:val="18"/>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1511" w:type="dxa"/>
            <w:gridSpan w:val="2"/>
            <w:vMerge w:val="continue"/>
            <w:tcBorders>
              <w:top w:val="nil"/>
            </w:tcBorders>
          </w:tcPr>
          <w:p>
            <w:pPr>
              <w:rPr>
                <w:sz w:val="2"/>
                <w:szCs w:val="2"/>
              </w:rPr>
            </w:pPr>
          </w:p>
        </w:tc>
        <w:tc>
          <w:tcPr>
            <w:tcW w:w="4117" w:type="dxa"/>
            <w:gridSpan w:val="5"/>
          </w:tcPr>
          <w:p>
            <w:pPr>
              <w:pStyle w:val="12"/>
              <w:rPr>
                <w:rFonts w:ascii="仿宋"/>
                <w:sz w:val="18"/>
              </w:rPr>
            </w:pPr>
          </w:p>
          <w:p>
            <w:pPr>
              <w:pStyle w:val="12"/>
              <w:rPr>
                <w:rFonts w:ascii="仿宋"/>
                <w:sz w:val="18"/>
              </w:rPr>
            </w:pPr>
          </w:p>
          <w:p>
            <w:pPr>
              <w:pStyle w:val="12"/>
              <w:spacing w:before="156" w:line="242" w:lineRule="auto"/>
              <w:ind w:left="1023" w:right="246" w:hanging="766"/>
              <w:rPr>
                <w:sz w:val="18"/>
              </w:rPr>
            </w:pPr>
            <w:r>
              <w:rPr>
                <w:sz w:val="18"/>
              </w:rPr>
              <w:t>用于解决疫情值班期间拖欠酒店住宿费、餐饮费、购买防疫物资等支出.</w:t>
            </w:r>
          </w:p>
        </w:tc>
        <w:tc>
          <w:tcPr>
            <w:tcW w:w="3162" w:type="dxa"/>
            <w:gridSpan w:val="6"/>
          </w:tcPr>
          <w:p>
            <w:pPr>
              <w:pStyle w:val="12"/>
              <w:spacing w:before="34"/>
              <w:ind w:left="185"/>
              <w:jc w:val="both"/>
              <w:rPr>
                <w:sz w:val="18"/>
              </w:rPr>
            </w:pPr>
            <w:r>
              <w:rPr>
                <w:sz w:val="18"/>
              </w:rPr>
              <w:t>单位参与 2022 年新冠肺炎疫情防控</w:t>
            </w:r>
          </w:p>
          <w:p>
            <w:pPr>
              <w:pStyle w:val="12"/>
              <w:spacing w:before="2" w:line="242" w:lineRule="auto"/>
              <w:ind w:left="139" w:right="130"/>
              <w:jc w:val="both"/>
              <w:rPr>
                <w:sz w:val="18"/>
              </w:rPr>
            </w:pPr>
            <w:r>
              <w:rPr>
                <w:spacing w:val="-15"/>
                <w:sz w:val="18"/>
              </w:rPr>
              <w:t xml:space="preserve">工作 </w:t>
            </w:r>
            <w:r>
              <w:rPr>
                <w:sz w:val="18"/>
              </w:rPr>
              <w:t>3</w:t>
            </w:r>
            <w:r>
              <w:rPr>
                <w:spacing w:val="-8"/>
                <w:sz w:val="18"/>
              </w:rPr>
              <w:t xml:space="preserve"> 次，资金主要用于疫情值班期</w:t>
            </w:r>
            <w:r>
              <w:rPr>
                <w:spacing w:val="-2"/>
                <w:sz w:val="18"/>
              </w:rPr>
              <w:t>间产生的拖欠酒店住宿费用、餐饮费用和购买防疫物资等费用。其中：酒</w:t>
            </w:r>
            <w:r>
              <w:rPr>
                <w:spacing w:val="-5"/>
                <w:sz w:val="18"/>
              </w:rPr>
              <w:t xml:space="preserve">店住宿费和餐饮费用 </w:t>
            </w:r>
            <w:r>
              <w:rPr>
                <w:sz w:val="18"/>
              </w:rPr>
              <w:t>7797</w:t>
            </w:r>
            <w:r>
              <w:rPr>
                <w:spacing w:val="-10"/>
                <w:sz w:val="18"/>
              </w:rPr>
              <w:t xml:space="preserve"> 元，购买</w:t>
            </w:r>
          </w:p>
          <w:p>
            <w:pPr>
              <w:pStyle w:val="12"/>
              <w:spacing w:before="2" w:line="242" w:lineRule="auto"/>
              <w:ind w:left="1399" w:right="174" w:hanging="1215"/>
              <w:jc w:val="both"/>
              <w:rPr>
                <w:sz w:val="18"/>
              </w:rPr>
            </w:pPr>
            <w:r>
              <w:rPr>
                <w:sz w:val="18"/>
              </w:rPr>
              <w:t>防疫物资费用 3740</w:t>
            </w:r>
            <w:r>
              <w:rPr>
                <w:spacing w:val="-16"/>
                <w:sz w:val="18"/>
              </w:rPr>
              <w:t xml:space="preserve"> 元，共计 </w:t>
            </w:r>
            <w:r>
              <w:rPr>
                <w:spacing w:val="-4"/>
                <w:sz w:val="18"/>
              </w:rPr>
              <w:t xml:space="preserve">11537 </w:t>
            </w:r>
            <w:r>
              <w:rPr>
                <w:sz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770" w:type="dxa"/>
          </w:tcPr>
          <w:p>
            <w:pPr>
              <w:pStyle w:val="12"/>
              <w:rPr>
                <w:rFonts w:ascii="仿宋"/>
                <w:sz w:val="18"/>
              </w:rPr>
            </w:pPr>
          </w:p>
          <w:p>
            <w:pPr>
              <w:pStyle w:val="12"/>
              <w:spacing w:before="6"/>
              <w:rPr>
                <w:rFonts w:ascii="仿宋"/>
                <w:sz w:val="18"/>
              </w:rPr>
            </w:pPr>
          </w:p>
          <w:p>
            <w:pPr>
              <w:pStyle w:val="12"/>
              <w:spacing w:line="242" w:lineRule="auto"/>
              <w:ind w:left="295" w:right="102" w:hanging="180"/>
              <w:rPr>
                <w:sz w:val="18"/>
              </w:rPr>
            </w:pPr>
            <w:r>
              <w:rPr>
                <w:sz w:val="18"/>
              </w:rPr>
              <w:t>绩效指标</w:t>
            </w:r>
          </w:p>
        </w:tc>
        <w:tc>
          <w:tcPr>
            <w:tcW w:w="741" w:type="dxa"/>
          </w:tcPr>
          <w:p>
            <w:pPr>
              <w:pStyle w:val="12"/>
              <w:rPr>
                <w:rFonts w:ascii="仿宋"/>
                <w:sz w:val="18"/>
              </w:rPr>
            </w:pPr>
          </w:p>
          <w:p>
            <w:pPr>
              <w:pStyle w:val="12"/>
              <w:spacing w:before="6"/>
              <w:rPr>
                <w:rFonts w:ascii="仿宋"/>
                <w:sz w:val="18"/>
              </w:rPr>
            </w:pPr>
          </w:p>
          <w:p>
            <w:pPr>
              <w:pStyle w:val="12"/>
              <w:spacing w:line="242" w:lineRule="auto"/>
              <w:ind w:left="190" w:right="178"/>
              <w:rPr>
                <w:sz w:val="18"/>
              </w:rPr>
            </w:pPr>
            <w:r>
              <w:rPr>
                <w:sz w:val="18"/>
              </w:rPr>
              <w:t>一级指标</w:t>
            </w:r>
          </w:p>
        </w:tc>
        <w:tc>
          <w:tcPr>
            <w:tcW w:w="1213" w:type="dxa"/>
          </w:tcPr>
          <w:p>
            <w:pPr>
              <w:pStyle w:val="12"/>
              <w:rPr>
                <w:rFonts w:ascii="仿宋"/>
                <w:sz w:val="18"/>
              </w:rPr>
            </w:pPr>
          </w:p>
          <w:p>
            <w:pPr>
              <w:pStyle w:val="12"/>
              <w:rPr>
                <w:rFonts w:ascii="仿宋"/>
                <w:sz w:val="18"/>
              </w:rPr>
            </w:pPr>
          </w:p>
          <w:p>
            <w:pPr>
              <w:pStyle w:val="12"/>
              <w:spacing w:before="122"/>
              <w:ind w:left="125" w:right="116"/>
              <w:jc w:val="center"/>
              <w:rPr>
                <w:sz w:val="18"/>
              </w:rPr>
            </w:pPr>
            <w:r>
              <w:rPr>
                <w:sz w:val="18"/>
              </w:rPr>
              <w:t>二级指标</w:t>
            </w:r>
          </w:p>
        </w:tc>
        <w:tc>
          <w:tcPr>
            <w:tcW w:w="1079" w:type="dxa"/>
          </w:tcPr>
          <w:p>
            <w:pPr>
              <w:pStyle w:val="12"/>
              <w:rPr>
                <w:rFonts w:ascii="仿宋"/>
                <w:sz w:val="18"/>
              </w:rPr>
            </w:pPr>
          </w:p>
          <w:p>
            <w:pPr>
              <w:pStyle w:val="12"/>
              <w:spacing w:before="6"/>
              <w:rPr>
                <w:rFonts w:ascii="仿宋"/>
                <w:sz w:val="18"/>
              </w:rPr>
            </w:pPr>
          </w:p>
          <w:p>
            <w:pPr>
              <w:pStyle w:val="12"/>
              <w:spacing w:line="242" w:lineRule="auto"/>
              <w:ind w:left="370" w:right="178" w:hanging="180"/>
              <w:rPr>
                <w:sz w:val="18"/>
              </w:rPr>
            </w:pPr>
            <w:r>
              <w:rPr>
                <w:sz w:val="18"/>
              </w:rPr>
              <w:t>三级指标</w:t>
            </w:r>
          </w:p>
        </w:tc>
        <w:tc>
          <w:tcPr>
            <w:tcW w:w="741" w:type="dxa"/>
          </w:tcPr>
          <w:p>
            <w:pPr>
              <w:pStyle w:val="12"/>
              <w:rPr>
                <w:rFonts w:ascii="仿宋"/>
                <w:sz w:val="18"/>
              </w:rPr>
            </w:pPr>
          </w:p>
          <w:p>
            <w:pPr>
              <w:pStyle w:val="12"/>
              <w:spacing w:before="6"/>
              <w:rPr>
                <w:rFonts w:ascii="仿宋"/>
                <w:sz w:val="18"/>
              </w:rPr>
            </w:pPr>
          </w:p>
          <w:p>
            <w:pPr>
              <w:pStyle w:val="12"/>
              <w:spacing w:line="242" w:lineRule="auto"/>
              <w:ind w:left="188" w:right="180"/>
              <w:rPr>
                <w:sz w:val="18"/>
              </w:rPr>
            </w:pPr>
            <w:r>
              <w:rPr>
                <w:sz w:val="18"/>
              </w:rPr>
              <w:t>指标性质</w:t>
            </w:r>
          </w:p>
        </w:tc>
        <w:tc>
          <w:tcPr>
            <w:tcW w:w="396" w:type="dxa"/>
          </w:tcPr>
          <w:p>
            <w:pPr>
              <w:pStyle w:val="12"/>
              <w:spacing w:before="4"/>
              <w:rPr>
                <w:rFonts w:ascii="仿宋"/>
                <w:sz w:val="18"/>
              </w:rPr>
            </w:pPr>
          </w:p>
          <w:p>
            <w:pPr>
              <w:pStyle w:val="12"/>
              <w:spacing w:line="242" w:lineRule="auto"/>
              <w:ind w:left="107" w:right="96"/>
              <w:jc w:val="both"/>
              <w:rPr>
                <w:sz w:val="18"/>
              </w:rPr>
            </w:pPr>
            <w:r>
              <w:rPr>
                <w:sz w:val="18"/>
              </w:rPr>
              <w:t>指标方向</w:t>
            </w:r>
          </w:p>
        </w:tc>
        <w:tc>
          <w:tcPr>
            <w:tcW w:w="688" w:type="dxa"/>
          </w:tcPr>
          <w:p>
            <w:pPr>
              <w:pStyle w:val="12"/>
              <w:rPr>
                <w:rFonts w:ascii="仿宋"/>
                <w:sz w:val="18"/>
              </w:rPr>
            </w:pPr>
          </w:p>
          <w:p>
            <w:pPr>
              <w:pStyle w:val="12"/>
              <w:spacing w:before="119" w:line="242" w:lineRule="auto"/>
              <w:ind w:left="162" w:right="153"/>
              <w:jc w:val="both"/>
              <w:rPr>
                <w:sz w:val="18"/>
              </w:rPr>
            </w:pPr>
            <w:r>
              <w:rPr>
                <w:sz w:val="18"/>
              </w:rPr>
              <w:t>年度指标值</w:t>
            </w:r>
          </w:p>
        </w:tc>
        <w:tc>
          <w:tcPr>
            <w:tcW w:w="576" w:type="dxa"/>
          </w:tcPr>
          <w:p>
            <w:pPr>
              <w:pStyle w:val="12"/>
              <w:rPr>
                <w:rFonts w:ascii="仿宋"/>
                <w:sz w:val="18"/>
              </w:rPr>
            </w:pPr>
          </w:p>
          <w:p>
            <w:pPr>
              <w:pStyle w:val="12"/>
              <w:spacing w:before="119" w:line="242" w:lineRule="auto"/>
              <w:ind w:left="108" w:right="95"/>
              <w:jc w:val="both"/>
              <w:rPr>
                <w:sz w:val="18"/>
              </w:rPr>
            </w:pPr>
            <w:r>
              <w:rPr>
                <w:sz w:val="18"/>
              </w:rPr>
              <w:t>实际完成值</w:t>
            </w:r>
          </w:p>
        </w:tc>
        <w:tc>
          <w:tcPr>
            <w:tcW w:w="600" w:type="dxa"/>
          </w:tcPr>
          <w:p>
            <w:pPr>
              <w:pStyle w:val="12"/>
              <w:rPr>
                <w:rFonts w:ascii="仿宋"/>
                <w:sz w:val="18"/>
              </w:rPr>
            </w:pPr>
          </w:p>
          <w:p>
            <w:pPr>
              <w:pStyle w:val="12"/>
              <w:spacing w:before="6"/>
              <w:rPr>
                <w:rFonts w:ascii="仿宋"/>
                <w:sz w:val="18"/>
              </w:rPr>
            </w:pPr>
          </w:p>
          <w:p>
            <w:pPr>
              <w:pStyle w:val="12"/>
              <w:spacing w:line="242" w:lineRule="auto"/>
              <w:ind w:left="120" w:right="107"/>
              <w:rPr>
                <w:sz w:val="18"/>
              </w:rPr>
            </w:pPr>
            <w:r>
              <w:rPr>
                <w:sz w:val="18"/>
              </w:rPr>
              <w:t>计量单位</w:t>
            </w:r>
          </w:p>
        </w:tc>
        <w:tc>
          <w:tcPr>
            <w:tcW w:w="593" w:type="dxa"/>
          </w:tcPr>
          <w:p>
            <w:pPr>
              <w:pStyle w:val="12"/>
              <w:rPr>
                <w:rFonts w:ascii="仿宋"/>
                <w:sz w:val="18"/>
              </w:rPr>
            </w:pPr>
          </w:p>
          <w:p>
            <w:pPr>
              <w:pStyle w:val="12"/>
              <w:rPr>
                <w:rFonts w:ascii="仿宋"/>
                <w:sz w:val="18"/>
              </w:rPr>
            </w:pPr>
          </w:p>
          <w:p>
            <w:pPr>
              <w:pStyle w:val="12"/>
              <w:spacing w:before="122"/>
              <w:ind w:left="95" w:right="87"/>
              <w:jc w:val="center"/>
              <w:rPr>
                <w:sz w:val="18"/>
              </w:rPr>
            </w:pPr>
            <w:r>
              <w:rPr>
                <w:sz w:val="18"/>
              </w:rPr>
              <w:t>分值</w:t>
            </w:r>
          </w:p>
        </w:tc>
        <w:tc>
          <w:tcPr>
            <w:tcW w:w="666" w:type="dxa"/>
          </w:tcPr>
          <w:p>
            <w:pPr>
              <w:pStyle w:val="12"/>
              <w:rPr>
                <w:rFonts w:ascii="仿宋"/>
                <w:sz w:val="18"/>
              </w:rPr>
            </w:pPr>
          </w:p>
          <w:p>
            <w:pPr>
              <w:pStyle w:val="12"/>
              <w:rPr>
                <w:rFonts w:ascii="仿宋"/>
                <w:sz w:val="18"/>
              </w:rPr>
            </w:pPr>
          </w:p>
          <w:p>
            <w:pPr>
              <w:pStyle w:val="12"/>
              <w:spacing w:before="122"/>
              <w:ind w:left="122" w:right="111"/>
              <w:jc w:val="center"/>
              <w:rPr>
                <w:sz w:val="18"/>
              </w:rPr>
            </w:pPr>
            <w:r>
              <w:rPr>
                <w:sz w:val="18"/>
              </w:rPr>
              <w:t>得分</w:t>
            </w:r>
          </w:p>
        </w:tc>
        <w:tc>
          <w:tcPr>
            <w:tcW w:w="727" w:type="dxa"/>
            <w:gridSpan w:val="2"/>
          </w:tcPr>
          <w:p>
            <w:pPr>
              <w:pStyle w:val="12"/>
              <w:spacing w:line="242" w:lineRule="auto"/>
              <w:ind w:left="106" w:right="248"/>
              <w:jc w:val="both"/>
              <w:rPr>
                <w:sz w:val="18"/>
              </w:rPr>
            </w:pPr>
            <w:r>
              <w:rPr>
                <w:sz w:val="18"/>
              </w:rPr>
              <w:t>偏差原因分析及改进措</w:t>
            </w:r>
          </w:p>
          <w:p>
            <w:pPr>
              <w:pStyle w:val="12"/>
              <w:spacing w:before="4" w:line="211" w:lineRule="exact"/>
              <w:ind w:left="106"/>
              <w:rPr>
                <w:sz w:val="18"/>
              </w:rPr>
            </w:pPr>
            <w:r>
              <w:rPr>
                <w:sz w:val="18"/>
              </w:rPr>
              <w:t>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70" w:type="dxa"/>
            <w:vMerge w:val="restart"/>
            <w:tcBorders>
              <w:bottom w:val="nil"/>
            </w:tcBorders>
          </w:tcPr>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spacing w:before="115" w:line="242" w:lineRule="auto"/>
              <w:ind w:left="295" w:right="102" w:hanging="180"/>
              <w:rPr>
                <w:sz w:val="18"/>
              </w:rPr>
            </w:pPr>
            <w:r>
              <w:rPr>
                <w:sz w:val="18"/>
              </w:rPr>
              <w:t>绩效指标</w:t>
            </w:r>
          </w:p>
        </w:tc>
        <w:tc>
          <w:tcPr>
            <w:tcW w:w="741" w:type="dxa"/>
            <w:vMerge w:val="restart"/>
            <w:tcBorders>
              <w:bottom w:val="nil"/>
            </w:tcBorders>
          </w:tcPr>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spacing w:before="115" w:line="242" w:lineRule="auto"/>
              <w:ind w:left="190" w:right="178"/>
              <w:rPr>
                <w:sz w:val="18"/>
              </w:rPr>
            </w:pPr>
            <w:r>
              <w:rPr>
                <w:sz w:val="18"/>
              </w:rPr>
              <w:t>产出指标</w:t>
            </w:r>
          </w:p>
        </w:tc>
        <w:tc>
          <w:tcPr>
            <w:tcW w:w="1213" w:type="dxa"/>
            <w:vMerge w:val="restart"/>
          </w:tcPr>
          <w:p>
            <w:pPr>
              <w:pStyle w:val="12"/>
              <w:rPr>
                <w:rFonts w:ascii="仿宋"/>
                <w:sz w:val="18"/>
              </w:rPr>
            </w:pPr>
          </w:p>
          <w:p>
            <w:pPr>
              <w:pStyle w:val="12"/>
              <w:rPr>
                <w:rFonts w:ascii="仿宋"/>
                <w:sz w:val="18"/>
              </w:rPr>
            </w:pPr>
          </w:p>
          <w:p>
            <w:pPr>
              <w:pStyle w:val="12"/>
              <w:rPr>
                <w:rFonts w:ascii="仿宋"/>
                <w:sz w:val="21"/>
              </w:rPr>
            </w:pPr>
          </w:p>
          <w:p>
            <w:pPr>
              <w:pStyle w:val="12"/>
              <w:ind w:left="325"/>
              <w:rPr>
                <w:sz w:val="18"/>
              </w:rPr>
            </w:pPr>
            <w:r>
              <w:rPr>
                <w:sz w:val="18"/>
              </w:rPr>
              <w:t>数量指标</w:t>
            </w:r>
          </w:p>
        </w:tc>
        <w:tc>
          <w:tcPr>
            <w:tcW w:w="1079" w:type="dxa"/>
          </w:tcPr>
          <w:p>
            <w:pPr>
              <w:pStyle w:val="12"/>
              <w:spacing w:before="9"/>
              <w:rPr>
                <w:rFonts w:ascii="仿宋"/>
                <w:sz w:val="14"/>
              </w:rPr>
            </w:pPr>
          </w:p>
          <w:p>
            <w:pPr>
              <w:pStyle w:val="12"/>
              <w:spacing w:line="242" w:lineRule="auto"/>
              <w:ind w:left="190" w:right="178"/>
              <w:rPr>
                <w:sz w:val="18"/>
              </w:rPr>
            </w:pPr>
            <w:r>
              <w:rPr>
                <w:sz w:val="18"/>
              </w:rPr>
              <w:t>疫情防控次数</w:t>
            </w:r>
          </w:p>
        </w:tc>
        <w:tc>
          <w:tcPr>
            <w:tcW w:w="741" w:type="dxa"/>
          </w:tcPr>
          <w:p>
            <w:pPr>
              <w:pStyle w:val="12"/>
              <w:spacing w:before="11"/>
              <w:rPr>
                <w:rFonts w:ascii="仿宋"/>
                <w:sz w:val="23"/>
              </w:rPr>
            </w:pPr>
          </w:p>
          <w:p>
            <w:pPr>
              <w:pStyle w:val="12"/>
              <w:ind w:left="168" w:right="162"/>
              <w:jc w:val="center"/>
              <w:rPr>
                <w:sz w:val="18"/>
              </w:rPr>
            </w:pPr>
            <w:r>
              <w:rPr>
                <w:sz w:val="18"/>
              </w:rPr>
              <w:t>正向</w:t>
            </w:r>
          </w:p>
        </w:tc>
        <w:tc>
          <w:tcPr>
            <w:tcW w:w="396" w:type="dxa"/>
          </w:tcPr>
          <w:p>
            <w:pPr>
              <w:pStyle w:val="12"/>
              <w:spacing w:before="9"/>
              <w:rPr>
                <w:rFonts w:ascii="仿宋"/>
                <w:sz w:val="14"/>
              </w:rPr>
            </w:pPr>
          </w:p>
          <w:p>
            <w:pPr>
              <w:pStyle w:val="12"/>
              <w:spacing w:line="242" w:lineRule="auto"/>
              <w:ind w:left="107" w:right="96"/>
              <w:rPr>
                <w:sz w:val="18"/>
              </w:rPr>
            </w:pPr>
            <w:r>
              <w:rPr>
                <w:sz w:val="18"/>
              </w:rPr>
              <w:t>等于</w:t>
            </w:r>
          </w:p>
        </w:tc>
        <w:tc>
          <w:tcPr>
            <w:tcW w:w="688" w:type="dxa"/>
          </w:tcPr>
          <w:p>
            <w:pPr>
              <w:pStyle w:val="12"/>
              <w:spacing w:before="11"/>
              <w:rPr>
                <w:rFonts w:ascii="仿宋"/>
                <w:sz w:val="23"/>
              </w:rPr>
            </w:pPr>
          </w:p>
          <w:p>
            <w:pPr>
              <w:pStyle w:val="12"/>
              <w:ind w:left="11"/>
              <w:jc w:val="center"/>
              <w:rPr>
                <w:sz w:val="18"/>
              </w:rPr>
            </w:pPr>
            <w:r>
              <w:rPr>
                <w:sz w:val="18"/>
              </w:rPr>
              <w:t>3</w:t>
            </w:r>
          </w:p>
        </w:tc>
        <w:tc>
          <w:tcPr>
            <w:tcW w:w="576" w:type="dxa"/>
          </w:tcPr>
          <w:p>
            <w:pPr>
              <w:pStyle w:val="12"/>
              <w:spacing w:before="11"/>
              <w:rPr>
                <w:rFonts w:ascii="仿宋"/>
                <w:sz w:val="23"/>
              </w:rPr>
            </w:pPr>
          </w:p>
          <w:p>
            <w:pPr>
              <w:pStyle w:val="12"/>
              <w:ind w:left="9"/>
              <w:jc w:val="center"/>
              <w:rPr>
                <w:sz w:val="18"/>
              </w:rPr>
            </w:pPr>
            <w:r>
              <w:rPr>
                <w:sz w:val="18"/>
              </w:rPr>
              <w:t>3</w:t>
            </w:r>
          </w:p>
        </w:tc>
        <w:tc>
          <w:tcPr>
            <w:tcW w:w="600" w:type="dxa"/>
          </w:tcPr>
          <w:p>
            <w:pPr>
              <w:pStyle w:val="12"/>
              <w:spacing w:before="11"/>
              <w:rPr>
                <w:rFonts w:ascii="仿宋"/>
                <w:sz w:val="23"/>
              </w:rPr>
            </w:pPr>
          </w:p>
          <w:p>
            <w:pPr>
              <w:pStyle w:val="12"/>
              <w:ind w:left="8"/>
              <w:jc w:val="center"/>
              <w:rPr>
                <w:sz w:val="18"/>
              </w:rPr>
            </w:pPr>
            <w:r>
              <w:rPr>
                <w:sz w:val="18"/>
              </w:rPr>
              <w:t>次</w:t>
            </w:r>
          </w:p>
        </w:tc>
        <w:tc>
          <w:tcPr>
            <w:tcW w:w="593" w:type="dxa"/>
          </w:tcPr>
          <w:p>
            <w:pPr>
              <w:pStyle w:val="12"/>
              <w:spacing w:before="11"/>
              <w:rPr>
                <w:rFonts w:ascii="仿宋"/>
                <w:sz w:val="23"/>
              </w:rPr>
            </w:pPr>
          </w:p>
          <w:p>
            <w:pPr>
              <w:pStyle w:val="12"/>
              <w:ind w:left="6"/>
              <w:jc w:val="center"/>
              <w:rPr>
                <w:sz w:val="18"/>
              </w:rPr>
            </w:pPr>
            <w:r>
              <w:rPr>
                <w:sz w:val="18"/>
              </w:rPr>
              <w:t>8</w:t>
            </w:r>
          </w:p>
        </w:tc>
        <w:tc>
          <w:tcPr>
            <w:tcW w:w="666" w:type="dxa"/>
          </w:tcPr>
          <w:p>
            <w:pPr>
              <w:pStyle w:val="12"/>
              <w:spacing w:before="11"/>
              <w:rPr>
                <w:rFonts w:ascii="仿宋"/>
                <w:sz w:val="23"/>
              </w:rPr>
            </w:pPr>
          </w:p>
          <w:p>
            <w:pPr>
              <w:pStyle w:val="12"/>
              <w:ind w:left="10"/>
              <w:jc w:val="center"/>
              <w:rPr>
                <w:sz w:val="18"/>
              </w:rPr>
            </w:pPr>
            <w:r>
              <w:rPr>
                <w:sz w:val="18"/>
              </w:rPr>
              <w:t>8</w:t>
            </w:r>
          </w:p>
        </w:tc>
        <w:tc>
          <w:tcPr>
            <w:tcW w:w="72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70" w:type="dxa"/>
            <w:vMerge w:val="continue"/>
            <w:tcBorders>
              <w:top w:val="nil"/>
              <w:bottom w:val="nil"/>
            </w:tcBorders>
          </w:tcPr>
          <w:p>
            <w:pPr>
              <w:rPr>
                <w:sz w:val="2"/>
                <w:szCs w:val="2"/>
              </w:rPr>
            </w:pPr>
          </w:p>
        </w:tc>
        <w:tc>
          <w:tcPr>
            <w:tcW w:w="741" w:type="dxa"/>
            <w:vMerge w:val="continue"/>
            <w:tcBorders>
              <w:top w:val="nil"/>
              <w:bottom w:val="nil"/>
            </w:tcBorders>
          </w:tcPr>
          <w:p>
            <w:pPr>
              <w:rPr>
                <w:sz w:val="2"/>
                <w:szCs w:val="2"/>
              </w:rPr>
            </w:pPr>
          </w:p>
        </w:tc>
        <w:tc>
          <w:tcPr>
            <w:tcW w:w="1213" w:type="dxa"/>
            <w:vMerge w:val="continue"/>
            <w:tcBorders>
              <w:top w:val="nil"/>
            </w:tcBorders>
          </w:tcPr>
          <w:p>
            <w:pPr>
              <w:rPr>
                <w:sz w:val="2"/>
                <w:szCs w:val="2"/>
              </w:rPr>
            </w:pPr>
          </w:p>
        </w:tc>
        <w:tc>
          <w:tcPr>
            <w:tcW w:w="1079" w:type="dxa"/>
          </w:tcPr>
          <w:p>
            <w:pPr>
              <w:pStyle w:val="12"/>
              <w:spacing w:before="70" w:line="242" w:lineRule="auto"/>
              <w:ind w:left="190" w:right="178"/>
              <w:jc w:val="center"/>
              <w:rPr>
                <w:sz w:val="18"/>
              </w:rPr>
            </w:pPr>
            <w:r>
              <w:rPr>
                <w:sz w:val="18"/>
              </w:rPr>
              <w:t>参与突击队人数</w:t>
            </w:r>
          </w:p>
        </w:tc>
        <w:tc>
          <w:tcPr>
            <w:tcW w:w="741" w:type="dxa"/>
          </w:tcPr>
          <w:p>
            <w:pPr>
              <w:pStyle w:val="12"/>
              <w:spacing w:before="10"/>
              <w:rPr>
                <w:rFonts w:ascii="仿宋"/>
                <w:sz w:val="23"/>
              </w:rPr>
            </w:pPr>
          </w:p>
          <w:p>
            <w:pPr>
              <w:pStyle w:val="12"/>
              <w:spacing w:before="1"/>
              <w:ind w:left="168" w:right="162"/>
              <w:jc w:val="center"/>
              <w:rPr>
                <w:sz w:val="18"/>
              </w:rPr>
            </w:pPr>
            <w:r>
              <w:rPr>
                <w:sz w:val="18"/>
              </w:rPr>
              <w:t>正向</w:t>
            </w:r>
          </w:p>
        </w:tc>
        <w:tc>
          <w:tcPr>
            <w:tcW w:w="396" w:type="dxa"/>
          </w:tcPr>
          <w:p>
            <w:pPr>
              <w:pStyle w:val="12"/>
              <w:spacing w:before="8"/>
              <w:rPr>
                <w:rFonts w:ascii="仿宋"/>
                <w:sz w:val="14"/>
              </w:rPr>
            </w:pPr>
          </w:p>
          <w:p>
            <w:pPr>
              <w:pStyle w:val="12"/>
              <w:spacing w:line="242" w:lineRule="auto"/>
              <w:ind w:left="107" w:right="96"/>
              <w:rPr>
                <w:sz w:val="18"/>
              </w:rPr>
            </w:pPr>
            <w:r>
              <w:rPr>
                <w:sz w:val="18"/>
              </w:rPr>
              <w:t>等于</w:t>
            </w:r>
          </w:p>
        </w:tc>
        <w:tc>
          <w:tcPr>
            <w:tcW w:w="688" w:type="dxa"/>
          </w:tcPr>
          <w:p>
            <w:pPr>
              <w:pStyle w:val="12"/>
              <w:spacing w:before="10"/>
              <w:rPr>
                <w:rFonts w:ascii="仿宋"/>
                <w:sz w:val="23"/>
              </w:rPr>
            </w:pPr>
          </w:p>
          <w:p>
            <w:pPr>
              <w:pStyle w:val="12"/>
              <w:spacing w:before="1"/>
              <w:ind w:left="11"/>
              <w:jc w:val="center"/>
              <w:rPr>
                <w:sz w:val="18"/>
              </w:rPr>
            </w:pPr>
            <w:r>
              <w:rPr>
                <w:sz w:val="18"/>
              </w:rPr>
              <w:t>7</w:t>
            </w:r>
          </w:p>
        </w:tc>
        <w:tc>
          <w:tcPr>
            <w:tcW w:w="576" w:type="dxa"/>
          </w:tcPr>
          <w:p>
            <w:pPr>
              <w:pStyle w:val="12"/>
              <w:spacing w:before="10"/>
              <w:rPr>
                <w:rFonts w:ascii="仿宋"/>
                <w:sz w:val="23"/>
              </w:rPr>
            </w:pPr>
          </w:p>
          <w:p>
            <w:pPr>
              <w:pStyle w:val="12"/>
              <w:spacing w:before="1"/>
              <w:ind w:left="9"/>
              <w:jc w:val="center"/>
              <w:rPr>
                <w:sz w:val="18"/>
              </w:rPr>
            </w:pPr>
            <w:r>
              <w:rPr>
                <w:sz w:val="18"/>
              </w:rPr>
              <w:t>7</w:t>
            </w:r>
          </w:p>
        </w:tc>
        <w:tc>
          <w:tcPr>
            <w:tcW w:w="600" w:type="dxa"/>
          </w:tcPr>
          <w:p>
            <w:pPr>
              <w:pStyle w:val="12"/>
              <w:spacing w:before="10"/>
              <w:rPr>
                <w:rFonts w:ascii="仿宋"/>
                <w:sz w:val="23"/>
              </w:rPr>
            </w:pPr>
          </w:p>
          <w:p>
            <w:pPr>
              <w:pStyle w:val="12"/>
              <w:spacing w:before="1"/>
              <w:ind w:left="8"/>
              <w:jc w:val="center"/>
              <w:rPr>
                <w:sz w:val="18"/>
              </w:rPr>
            </w:pPr>
            <w:r>
              <w:rPr>
                <w:sz w:val="18"/>
              </w:rPr>
              <w:t>人</w:t>
            </w:r>
          </w:p>
        </w:tc>
        <w:tc>
          <w:tcPr>
            <w:tcW w:w="593" w:type="dxa"/>
          </w:tcPr>
          <w:p>
            <w:pPr>
              <w:pStyle w:val="12"/>
              <w:spacing w:before="10"/>
              <w:rPr>
                <w:rFonts w:ascii="仿宋"/>
                <w:sz w:val="23"/>
              </w:rPr>
            </w:pPr>
          </w:p>
          <w:p>
            <w:pPr>
              <w:pStyle w:val="12"/>
              <w:spacing w:before="1"/>
              <w:ind w:left="6"/>
              <w:jc w:val="center"/>
              <w:rPr>
                <w:sz w:val="18"/>
              </w:rPr>
            </w:pPr>
            <w:r>
              <w:rPr>
                <w:sz w:val="18"/>
              </w:rPr>
              <w:t>7</w:t>
            </w:r>
          </w:p>
        </w:tc>
        <w:tc>
          <w:tcPr>
            <w:tcW w:w="666" w:type="dxa"/>
          </w:tcPr>
          <w:p>
            <w:pPr>
              <w:pStyle w:val="12"/>
              <w:spacing w:before="10"/>
              <w:rPr>
                <w:rFonts w:ascii="仿宋"/>
                <w:sz w:val="23"/>
              </w:rPr>
            </w:pPr>
          </w:p>
          <w:p>
            <w:pPr>
              <w:pStyle w:val="12"/>
              <w:spacing w:before="1"/>
              <w:ind w:left="10"/>
              <w:jc w:val="center"/>
              <w:rPr>
                <w:sz w:val="18"/>
              </w:rPr>
            </w:pPr>
            <w:r>
              <w:rPr>
                <w:sz w:val="18"/>
              </w:rPr>
              <w:t>7</w:t>
            </w:r>
          </w:p>
        </w:tc>
        <w:tc>
          <w:tcPr>
            <w:tcW w:w="727" w:type="dxa"/>
            <w:gridSpan w:val="2"/>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770" w:type="dxa"/>
            <w:vMerge w:val="continue"/>
            <w:tcBorders>
              <w:top w:val="nil"/>
              <w:bottom w:val="nil"/>
            </w:tcBorders>
          </w:tcPr>
          <w:p>
            <w:pPr>
              <w:rPr>
                <w:sz w:val="2"/>
                <w:szCs w:val="2"/>
              </w:rPr>
            </w:pPr>
          </w:p>
        </w:tc>
        <w:tc>
          <w:tcPr>
            <w:tcW w:w="741" w:type="dxa"/>
            <w:vMerge w:val="continue"/>
            <w:tcBorders>
              <w:top w:val="nil"/>
              <w:bottom w:val="nil"/>
            </w:tcBorders>
          </w:tcPr>
          <w:p>
            <w:pPr>
              <w:rPr>
                <w:sz w:val="2"/>
                <w:szCs w:val="2"/>
              </w:rPr>
            </w:pPr>
          </w:p>
        </w:tc>
        <w:tc>
          <w:tcPr>
            <w:tcW w:w="1213" w:type="dxa"/>
            <w:tcBorders>
              <w:bottom w:val="nil"/>
            </w:tcBorders>
          </w:tcPr>
          <w:p>
            <w:pPr>
              <w:pStyle w:val="12"/>
              <w:spacing w:before="10"/>
              <w:rPr>
                <w:rFonts w:ascii="仿宋"/>
                <w:sz w:val="23"/>
              </w:rPr>
            </w:pPr>
          </w:p>
          <w:p>
            <w:pPr>
              <w:pStyle w:val="12"/>
              <w:ind w:left="125" w:right="116"/>
              <w:jc w:val="center"/>
              <w:rPr>
                <w:sz w:val="18"/>
              </w:rPr>
            </w:pPr>
            <w:r>
              <w:rPr>
                <w:sz w:val="18"/>
              </w:rPr>
              <w:t>质量指标</w:t>
            </w:r>
          </w:p>
        </w:tc>
        <w:tc>
          <w:tcPr>
            <w:tcW w:w="1079" w:type="dxa"/>
            <w:tcBorders>
              <w:bottom w:val="nil"/>
            </w:tcBorders>
          </w:tcPr>
          <w:p>
            <w:pPr>
              <w:pStyle w:val="12"/>
              <w:spacing w:before="70" w:line="242" w:lineRule="auto"/>
              <w:ind w:left="190" w:right="178"/>
              <w:jc w:val="center"/>
              <w:rPr>
                <w:sz w:val="18"/>
              </w:rPr>
            </w:pPr>
            <w:r>
              <w:rPr>
                <w:sz w:val="18"/>
              </w:rPr>
              <w:t>疫情防控完成率</w:t>
            </w:r>
          </w:p>
        </w:tc>
        <w:tc>
          <w:tcPr>
            <w:tcW w:w="741" w:type="dxa"/>
            <w:tcBorders>
              <w:bottom w:val="nil"/>
            </w:tcBorders>
          </w:tcPr>
          <w:p>
            <w:pPr>
              <w:pStyle w:val="12"/>
              <w:spacing w:before="10"/>
              <w:rPr>
                <w:rFonts w:ascii="仿宋"/>
                <w:sz w:val="23"/>
              </w:rPr>
            </w:pPr>
          </w:p>
          <w:p>
            <w:pPr>
              <w:pStyle w:val="12"/>
              <w:ind w:left="168" w:right="162"/>
              <w:jc w:val="center"/>
              <w:rPr>
                <w:sz w:val="18"/>
              </w:rPr>
            </w:pPr>
            <w:r>
              <w:rPr>
                <w:sz w:val="18"/>
              </w:rPr>
              <w:t>正向</w:t>
            </w:r>
          </w:p>
        </w:tc>
        <w:tc>
          <w:tcPr>
            <w:tcW w:w="396" w:type="dxa"/>
            <w:tcBorders>
              <w:bottom w:val="nil"/>
            </w:tcBorders>
          </w:tcPr>
          <w:p>
            <w:pPr>
              <w:pStyle w:val="12"/>
              <w:spacing w:before="8"/>
              <w:rPr>
                <w:rFonts w:ascii="仿宋"/>
                <w:sz w:val="14"/>
              </w:rPr>
            </w:pPr>
          </w:p>
          <w:p>
            <w:pPr>
              <w:pStyle w:val="12"/>
              <w:spacing w:line="242" w:lineRule="auto"/>
              <w:ind w:left="107" w:right="96"/>
              <w:rPr>
                <w:sz w:val="18"/>
              </w:rPr>
            </w:pPr>
            <w:r>
              <w:rPr>
                <w:sz w:val="18"/>
              </w:rPr>
              <w:t>等于</w:t>
            </w:r>
          </w:p>
        </w:tc>
        <w:tc>
          <w:tcPr>
            <w:tcW w:w="688" w:type="dxa"/>
            <w:tcBorders>
              <w:bottom w:val="nil"/>
            </w:tcBorders>
          </w:tcPr>
          <w:p>
            <w:pPr>
              <w:pStyle w:val="12"/>
              <w:spacing w:before="10"/>
              <w:rPr>
                <w:rFonts w:ascii="仿宋"/>
                <w:sz w:val="23"/>
              </w:rPr>
            </w:pPr>
          </w:p>
          <w:p>
            <w:pPr>
              <w:pStyle w:val="12"/>
              <w:ind w:left="96" w:right="88"/>
              <w:jc w:val="center"/>
              <w:rPr>
                <w:sz w:val="18"/>
              </w:rPr>
            </w:pPr>
            <w:r>
              <w:rPr>
                <w:sz w:val="18"/>
              </w:rPr>
              <w:t>100</w:t>
            </w:r>
          </w:p>
        </w:tc>
        <w:tc>
          <w:tcPr>
            <w:tcW w:w="576" w:type="dxa"/>
            <w:tcBorders>
              <w:bottom w:val="nil"/>
            </w:tcBorders>
          </w:tcPr>
          <w:p>
            <w:pPr>
              <w:pStyle w:val="12"/>
              <w:spacing w:before="10"/>
              <w:rPr>
                <w:rFonts w:ascii="仿宋"/>
                <w:sz w:val="23"/>
              </w:rPr>
            </w:pPr>
          </w:p>
          <w:p>
            <w:pPr>
              <w:pStyle w:val="12"/>
              <w:ind w:left="84" w:right="77"/>
              <w:jc w:val="center"/>
              <w:rPr>
                <w:sz w:val="18"/>
              </w:rPr>
            </w:pPr>
            <w:r>
              <w:rPr>
                <w:sz w:val="18"/>
              </w:rPr>
              <w:t>100</w:t>
            </w:r>
          </w:p>
        </w:tc>
        <w:tc>
          <w:tcPr>
            <w:tcW w:w="600" w:type="dxa"/>
            <w:tcBorders>
              <w:bottom w:val="nil"/>
            </w:tcBorders>
          </w:tcPr>
          <w:p>
            <w:pPr>
              <w:pStyle w:val="12"/>
              <w:spacing w:before="10"/>
              <w:rPr>
                <w:rFonts w:ascii="仿宋"/>
                <w:sz w:val="23"/>
              </w:rPr>
            </w:pPr>
          </w:p>
          <w:p>
            <w:pPr>
              <w:pStyle w:val="12"/>
              <w:ind w:left="9"/>
              <w:jc w:val="center"/>
              <w:rPr>
                <w:sz w:val="18"/>
              </w:rPr>
            </w:pPr>
            <w:r>
              <w:rPr>
                <w:sz w:val="18"/>
              </w:rPr>
              <w:t>%</w:t>
            </w:r>
          </w:p>
        </w:tc>
        <w:tc>
          <w:tcPr>
            <w:tcW w:w="593" w:type="dxa"/>
            <w:tcBorders>
              <w:bottom w:val="nil"/>
            </w:tcBorders>
          </w:tcPr>
          <w:p>
            <w:pPr>
              <w:pStyle w:val="12"/>
              <w:spacing w:before="10"/>
              <w:rPr>
                <w:rFonts w:ascii="仿宋"/>
                <w:sz w:val="23"/>
              </w:rPr>
            </w:pPr>
          </w:p>
          <w:p>
            <w:pPr>
              <w:pStyle w:val="12"/>
              <w:ind w:left="6"/>
              <w:jc w:val="center"/>
              <w:rPr>
                <w:sz w:val="18"/>
              </w:rPr>
            </w:pPr>
            <w:r>
              <w:rPr>
                <w:sz w:val="18"/>
              </w:rPr>
              <w:t>8</w:t>
            </w:r>
          </w:p>
        </w:tc>
        <w:tc>
          <w:tcPr>
            <w:tcW w:w="666" w:type="dxa"/>
            <w:tcBorders>
              <w:bottom w:val="nil"/>
            </w:tcBorders>
          </w:tcPr>
          <w:p>
            <w:pPr>
              <w:pStyle w:val="12"/>
              <w:spacing w:before="10"/>
              <w:rPr>
                <w:rFonts w:ascii="仿宋"/>
                <w:sz w:val="23"/>
              </w:rPr>
            </w:pPr>
          </w:p>
          <w:p>
            <w:pPr>
              <w:pStyle w:val="12"/>
              <w:ind w:left="10"/>
              <w:jc w:val="center"/>
              <w:rPr>
                <w:sz w:val="18"/>
              </w:rPr>
            </w:pPr>
            <w:r>
              <w:rPr>
                <w:sz w:val="18"/>
              </w:rPr>
              <w:t>8</w:t>
            </w:r>
          </w:p>
        </w:tc>
        <w:tc>
          <w:tcPr>
            <w:tcW w:w="727" w:type="dxa"/>
            <w:gridSpan w:val="2"/>
            <w:tcBorders>
              <w:bottom w:val="nil"/>
            </w:tcBorders>
          </w:tcPr>
          <w:p>
            <w:pPr>
              <w:pStyle w:val="12"/>
              <w:rPr>
                <w:rFonts w:ascii="Times New Roman"/>
                <w:sz w:val="18"/>
              </w:rPr>
            </w:pPr>
          </w:p>
        </w:tc>
      </w:tr>
    </w:tbl>
    <w:p>
      <w:pPr>
        <w:spacing w:after="0"/>
        <w:rPr>
          <w:rFonts w:ascii="Times New Roman"/>
          <w:sz w:val="18"/>
        </w:rPr>
        <w:sectPr>
          <w:pgSz w:w="11920" w:h="16860"/>
          <w:pgMar w:top="1420" w:right="380" w:bottom="280" w:left="1660" w:header="720" w:footer="720" w:gutter="0"/>
          <w:pgBorders>
            <w:top w:val="none" w:sz="0" w:space="0"/>
            <w:left w:val="none" w:sz="0" w:space="0"/>
            <w:bottom w:val="none" w:sz="0" w:space="0"/>
            <w:right w:val="none" w:sz="0" w:space="0"/>
          </w:pgBorders>
          <w:cols w:space="720" w:num="1"/>
        </w:sectPr>
      </w:pPr>
    </w:p>
    <w:tbl>
      <w:tblPr>
        <w:tblStyle w:val="8"/>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741"/>
        <w:gridCol w:w="1371"/>
        <w:gridCol w:w="921"/>
        <w:gridCol w:w="741"/>
        <w:gridCol w:w="580"/>
        <w:gridCol w:w="504"/>
        <w:gridCol w:w="576"/>
        <w:gridCol w:w="600"/>
        <w:gridCol w:w="593"/>
        <w:gridCol w:w="666"/>
        <w:gridCol w:w="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70" w:type="dxa"/>
            <w:vMerge w:val="restart"/>
            <w:tcBorders>
              <w:bottom w:val="nil"/>
            </w:tcBorders>
          </w:tcPr>
          <w:p>
            <w:pPr>
              <w:pStyle w:val="12"/>
              <w:rPr>
                <w:rFonts w:ascii="Times New Roman"/>
                <w:sz w:val="18"/>
              </w:rPr>
            </w:pPr>
          </w:p>
        </w:tc>
        <w:tc>
          <w:tcPr>
            <w:tcW w:w="741" w:type="dxa"/>
            <w:vMerge w:val="restart"/>
          </w:tcPr>
          <w:p>
            <w:pPr>
              <w:pStyle w:val="12"/>
              <w:rPr>
                <w:rFonts w:ascii="Times New Roman"/>
                <w:sz w:val="18"/>
              </w:rPr>
            </w:pPr>
          </w:p>
        </w:tc>
        <w:tc>
          <w:tcPr>
            <w:tcW w:w="1371" w:type="dxa"/>
          </w:tcPr>
          <w:p>
            <w:pPr>
              <w:pStyle w:val="12"/>
              <w:rPr>
                <w:rFonts w:ascii="Times New Roman"/>
                <w:sz w:val="18"/>
              </w:rPr>
            </w:pPr>
          </w:p>
        </w:tc>
        <w:tc>
          <w:tcPr>
            <w:tcW w:w="921" w:type="dxa"/>
          </w:tcPr>
          <w:p>
            <w:pPr>
              <w:pStyle w:val="12"/>
              <w:spacing w:before="70" w:line="242" w:lineRule="auto"/>
              <w:ind w:left="190" w:right="178"/>
              <w:jc w:val="both"/>
              <w:rPr>
                <w:sz w:val="18"/>
              </w:rPr>
            </w:pPr>
            <w:r>
              <w:rPr>
                <w:sz w:val="18"/>
              </w:rPr>
              <w:t>社会面病毒清零率</w:t>
            </w:r>
          </w:p>
        </w:tc>
        <w:tc>
          <w:tcPr>
            <w:tcW w:w="741" w:type="dxa"/>
          </w:tcPr>
          <w:p>
            <w:pPr>
              <w:pStyle w:val="12"/>
              <w:spacing w:before="10"/>
              <w:rPr>
                <w:rFonts w:ascii="仿宋"/>
                <w:sz w:val="23"/>
              </w:rPr>
            </w:pPr>
          </w:p>
          <w:p>
            <w:pPr>
              <w:pStyle w:val="12"/>
              <w:spacing w:before="1"/>
              <w:ind w:left="168" w:right="162"/>
              <w:jc w:val="center"/>
              <w:rPr>
                <w:sz w:val="18"/>
              </w:rPr>
            </w:pPr>
            <w:r>
              <w:rPr>
                <w:sz w:val="18"/>
              </w:rPr>
              <w:t>正向</w:t>
            </w:r>
          </w:p>
        </w:tc>
        <w:tc>
          <w:tcPr>
            <w:tcW w:w="580" w:type="dxa"/>
          </w:tcPr>
          <w:p>
            <w:pPr>
              <w:pStyle w:val="12"/>
              <w:spacing w:before="8"/>
              <w:rPr>
                <w:rFonts w:ascii="仿宋"/>
                <w:sz w:val="14"/>
              </w:rPr>
            </w:pPr>
          </w:p>
          <w:p>
            <w:pPr>
              <w:pStyle w:val="12"/>
              <w:spacing w:line="242" w:lineRule="auto"/>
              <w:ind w:left="107" w:right="96"/>
              <w:rPr>
                <w:sz w:val="18"/>
              </w:rPr>
            </w:pPr>
            <w:r>
              <w:rPr>
                <w:sz w:val="18"/>
              </w:rPr>
              <w:t>等于</w:t>
            </w:r>
          </w:p>
        </w:tc>
        <w:tc>
          <w:tcPr>
            <w:tcW w:w="504" w:type="dxa"/>
          </w:tcPr>
          <w:p>
            <w:pPr>
              <w:pStyle w:val="12"/>
              <w:spacing w:before="10"/>
              <w:rPr>
                <w:rFonts w:ascii="仿宋"/>
                <w:sz w:val="23"/>
              </w:rPr>
            </w:pPr>
          </w:p>
          <w:p>
            <w:pPr>
              <w:pStyle w:val="12"/>
              <w:spacing w:before="1"/>
              <w:ind w:left="96" w:right="88"/>
              <w:jc w:val="center"/>
              <w:rPr>
                <w:sz w:val="18"/>
              </w:rPr>
            </w:pPr>
            <w:r>
              <w:rPr>
                <w:sz w:val="18"/>
              </w:rPr>
              <w:t>100</w:t>
            </w:r>
          </w:p>
        </w:tc>
        <w:tc>
          <w:tcPr>
            <w:tcW w:w="576" w:type="dxa"/>
          </w:tcPr>
          <w:p>
            <w:pPr>
              <w:pStyle w:val="12"/>
              <w:spacing w:before="10"/>
              <w:rPr>
                <w:rFonts w:ascii="仿宋"/>
                <w:sz w:val="23"/>
              </w:rPr>
            </w:pPr>
          </w:p>
          <w:p>
            <w:pPr>
              <w:pStyle w:val="12"/>
              <w:spacing w:before="1"/>
              <w:ind w:left="84" w:right="77"/>
              <w:jc w:val="center"/>
              <w:rPr>
                <w:sz w:val="18"/>
              </w:rPr>
            </w:pPr>
            <w:r>
              <w:rPr>
                <w:sz w:val="18"/>
              </w:rPr>
              <w:t>100</w:t>
            </w:r>
          </w:p>
        </w:tc>
        <w:tc>
          <w:tcPr>
            <w:tcW w:w="600" w:type="dxa"/>
          </w:tcPr>
          <w:p>
            <w:pPr>
              <w:pStyle w:val="12"/>
              <w:spacing w:before="10"/>
              <w:rPr>
                <w:rFonts w:ascii="仿宋"/>
                <w:sz w:val="23"/>
              </w:rPr>
            </w:pPr>
          </w:p>
          <w:p>
            <w:pPr>
              <w:pStyle w:val="12"/>
              <w:spacing w:before="1"/>
              <w:ind w:right="243"/>
              <w:jc w:val="right"/>
              <w:rPr>
                <w:sz w:val="18"/>
              </w:rPr>
            </w:pPr>
            <w:r>
              <w:rPr>
                <w:sz w:val="18"/>
              </w:rPr>
              <w:t>%</w:t>
            </w:r>
          </w:p>
        </w:tc>
        <w:tc>
          <w:tcPr>
            <w:tcW w:w="593" w:type="dxa"/>
          </w:tcPr>
          <w:p>
            <w:pPr>
              <w:pStyle w:val="12"/>
              <w:spacing w:before="10"/>
              <w:rPr>
                <w:rFonts w:ascii="仿宋"/>
                <w:sz w:val="23"/>
              </w:rPr>
            </w:pPr>
          </w:p>
          <w:p>
            <w:pPr>
              <w:pStyle w:val="12"/>
              <w:spacing w:before="1"/>
              <w:ind w:left="6"/>
              <w:jc w:val="center"/>
              <w:rPr>
                <w:sz w:val="18"/>
              </w:rPr>
            </w:pPr>
            <w:r>
              <w:rPr>
                <w:sz w:val="18"/>
              </w:rPr>
              <w:t>7</w:t>
            </w:r>
          </w:p>
        </w:tc>
        <w:tc>
          <w:tcPr>
            <w:tcW w:w="666" w:type="dxa"/>
          </w:tcPr>
          <w:p>
            <w:pPr>
              <w:pStyle w:val="12"/>
              <w:spacing w:before="10"/>
              <w:rPr>
                <w:rFonts w:ascii="仿宋"/>
                <w:sz w:val="23"/>
              </w:rPr>
            </w:pPr>
          </w:p>
          <w:p>
            <w:pPr>
              <w:pStyle w:val="12"/>
              <w:spacing w:before="1"/>
              <w:ind w:left="10"/>
              <w:jc w:val="center"/>
              <w:rPr>
                <w:sz w:val="18"/>
              </w:rPr>
            </w:pPr>
            <w:r>
              <w:rPr>
                <w:sz w:val="18"/>
              </w:rPr>
              <w:t>7</w:t>
            </w:r>
          </w:p>
        </w:tc>
        <w:tc>
          <w:tcPr>
            <w:tcW w:w="727" w:type="dxa"/>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70" w:type="dxa"/>
            <w:vMerge w:val="continue"/>
            <w:tcBorders>
              <w:top w:val="nil"/>
              <w:bottom w:val="nil"/>
            </w:tcBorders>
          </w:tcPr>
          <w:p>
            <w:pPr>
              <w:rPr>
                <w:sz w:val="2"/>
                <w:szCs w:val="2"/>
              </w:rPr>
            </w:pPr>
          </w:p>
        </w:tc>
        <w:tc>
          <w:tcPr>
            <w:tcW w:w="741" w:type="dxa"/>
            <w:vMerge w:val="continue"/>
            <w:tcBorders>
              <w:top w:val="nil"/>
            </w:tcBorders>
          </w:tcPr>
          <w:p>
            <w:pPr>
              <w:rPr>
                <w:sz w:val="2"/>
                <w:szCs w:val="2"/>
              </w:rPr>
            </w:pPr>
          </w:p>
        </w:tc>
        <w:tc>
          <w:tcPr>
            <w:tcW w:w="1371" w:type="dxa"/>
            <w:vMerge w:val="restart"/>
          </w:tcPr>
          <w:p>
            <w:pPr>
              <w:pStyle w:val="12"/>
              <w:rPr>
                <w:rFonts w:ascii="仿宋"/>
                <w:sz w:val="18"/>
              </w:rPr>
            </w:pPr>
          </w:p>
          <w:p>
            <w:pPr>
              <w:pStyle w:val="12"/>
              <w:rPr>
                <w:rFonts w:ascii="仿宋"/>
                <w:sz w:val="18"/>
              </w:rPr>
            </w:pPr>
          </w:p>
          <w:p>
            <w:pPr>
              <w:pStyle w:val="12"/>
              <w:spacing w:before="12"/>
              <w:rPr>
                <w:rFonts w:ascii="仿宋"/>
                <w:sz w:val="20"/>
              </w:rPr>
            </w:pPr>
          </w:p>
          <w:p>
            <w:pPr>
              <w:pStyle w:val="12"/>
              <w:ind w:left="325"/>
              <w:rPr>
                <w:sz w:val="18"/>
              </w:rPr>
            </w:pPr>
            <w:r>
              <w:rPr>
                <w:sz w:val="18"/>
              </w:rPr>
              <w:t>时效指标</w:t>
            </w:r>
          </w:p>
        </w:tc>
        <w:tc>
          <w:tcPr>
            <w:tcW w:w="921" w:type="dxa"/>
          </w:tcPr>
          <w:p>
            <w:pPr>
              <w:pStyle w:val="12"/>
              <w:spacing w:before="70" w:line="242" w:lineRule="auto"/>
              <w:ind w:left="190" w:right="178"/>
              <w:jc w:val="both"/>
              <w:rPr>
                <w:sz w:val="18"/>
              </w:rPr>
            </w:pPr>
            <w:r>
              <w:rPr>
                <w:sz w:val="18"/>
              </w:rPr>
              <w:t>疫情防控完成时效</w:t>
            </w:r>
          </w:p>
        </w:tc>
        <w:tc>
          <w:tcPr>
            <w:tcW w:w="741" w:type="dxa"/>
          </w:tcPr>
          <w:p>
            <w:pPr>
              <w:pStyle w:val="12"/>
              <w:spacing w:before="10"/>
              <w:rPr>
                <w:rFonts w:ascii="仿宋"/>
                <w:sz w:val="23"/>
              </w:rPr>
            </w:pPr>
          </w:p>
          <w:p>
            <w:pPr>
              <w:pStyle w:val="12"/>
              <w:ind w:left="168" w:right="162"/>
              <w:jc w:val="center"/>
              <w:rPr>
                <w:sz w:val="18"/>
              </w:rPr>
            </w:pPr>
            <w:r>
              <w:rPr>
                <w:sz w:val="18"/>
              </w:rPr>
              <w:t>正向</w:t>
            </w:r>
          </w:p>
        </w:tc>
        <w:tc>
          <w:tcPr>
            <w:tcW w:w="580" w:type="dxa"/>
          </w:tcPr>
          <w:p>
            <w:pPr>
              <w:pStyle w:val="12"/>
              <w:spacing w:before="8"/>
              <w:rPr>
                <w:rFonts w:ascii="仿宋"/>
                <w:sz w:val="14"/>
              </w:rPr>
            </w:pPr>
          </w:p>
          <w:p>
            <w:pPr>
              <w:pStyle w:val="12"/>
              <w:spacing w:line="242" w:lineRule="auto"/>
              <w:ind w:left="107" w:right="96"/>
              <w:rPr>
                <w:sz w:val="18"/>
              </w:rPr>
            </w:pPr>
            <w:r>
              <w:rPr>
                <w:sz w:val="18"/>
              </w:rPr>
              <w:t>等于</w:t>
            </w:r>
          </w:p>
        </w:tc>
        <w:tc>
          <w:tcPr>
            <w:tcW w:w="504" w:type="dxa"/>
          </w:tcPr>
          <w:p>
            <w:pPr>
              <w:pStyle w:val="12"/>
              <w:spacing w:before="10"/>
              <w:rPr>
                <w:rFonts w:ascii="仿宋"/>
                <w:sz w:val="23"/>
              </w:rPr>
            </w:pPr>
          </w:p>
          <w:p>
            <w:pPr>
              <w:pStyle w:val="12"/>
              <w:ind w:left="11"/>
              <w:jc w:val="center"/>
              <w:rPr>
                <w:sz w:val="18"/>
              </w:rPr>
            </w:pPr>
            <w:r>
              <w:rPr>
                <w:sz w:val="18"/>
              </w:rPr>
              <w:t>1</w:t>
            </w:r>
          </w:p>
        </w:tc>
        <w:tc>
          <w:tcPr>
            <w:tcW w:w="576" w:type="dxa"/>
          </w:tcPr>
          <w:p>
            <w:pPr>
              <w:pStyle w:val="12"/>
              <w:spacing w:before="10"/>
              <w:rPr>
                <w:rFonts w:ascii="仿宋"/>
                <w:sz w:val="23"/>
              </w:rPr>
            </w:pPr>
          </w:p>
          <w:p>
            <w:pPr>
              <w:pStyle w:val="12"/>
              <w:ind w:left="9"/>
              <w:jc w:val="center"/>
              <w:rPr>
                <w:sz w:val="18"/>
              </w:rPr>
            </w:pPr>
            <w:r>
              <w:rPr>
                <w:sz w:val="18"/>
              </w:rPr>
              <w:t>1</w:t>
            </w:r>
          </w:p>
        </w:tc>
        <w:tc>
          <w:tcPr>
            <w:tcW w:w="600" w:type="dxa"/>
          </w:tcPr>
          <w:p>
            <w:pPr>
              <w:pStyle w:val="12"/>
              <w:spacing w:before="10"/>
              <w:rPr>
                <w:rFonts w:ascii="仿宋"/>
                <w:sz w:val="23"/>
              </w:rPr>
            </w:pPr>
          </w:p>
          <w:p>
            <w:pPr>
              <w:pStyle w:val="12"/>
              <w:ind w:right="198"/>
              <w:jc w:val="right"/>
              <w:rPr>
                <w:sz w:val="18"/>
              </w:rPr>
            </w:pPr>
            <w:r>
              <w:rPr>
                <w:sz w:val="18"/>
              </w:rPr>
              <w:t>年</w:t>
            </w:r>
          </w:p>
        </w:tc>
        <w:tc>
          <w:tcPr>
            <w:tcW w:w="593" w:type="dxa"/>
          </w:tcPr>
          <w:p>
            <w:pPr>
              <w:pStyle w:val="12"/>
              <w:spacing w:before="10"/>
              <w:rPr>
                <w:rFonts w:ascii="仿宋"/>
                <w:sz w:val="23"/>
              </w:rPr>
            </w:pPr>
          </w:p>
          <w:p>
            <w:pPr>
              <w:pStyle w:val="12"/>
              <w:ind w:left="6"/>
              <w:jc w:val="center"/>
              <w:rPr>
                <w:sz w:val="18"/>
              </w:rPr>
            </w:pPr>
            <w:r>
              <w:rPr>
                <w:sz w:val="18"/>
              </w:rPr>
              <w:t>5</w:t>
            </w:r>
          </w:p>
        </w:tc>
        <w:tc>
          <w:tcPr>
            <w:tcW w:w="666" w:type="dxa"/>
          </w:tcPr>
          <w:p>
            <w:pPr>
              <w:pStyle w:val="12"/>
              <w:spacing w:before="10"/>
              <w:rPr>
                <w:rFonts w:ascii="仿宋"/>
                <w:sz w:val="23"/>
              </w:rPr>
            </w:pPr>
          </w:p>
          <w:p>
            <w:pPr>
              <w:pStyle w:val="12"/>
              <w:ind w:left="10"/>
              <w:jc w:val="center"/>
              <w:rPr>
                <w:sz w:val="18"/>
              </w:rPr>
            </w:pPr>
            <w:r>
              <w:rPr>
                <w:sz w:val="18"/>
              </w:rPr>
              <w:t>5</w:t>
            </w:r>
          </w:p>
        </w:tc>
        <w:tc>
          <w:tcPr>
            <w:tcW w:w="727" w:type="dxa"/>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70" w:type="dxa"/>
            <w:vMerge w:val="continue"/>
            <w:tcBorders>
              <w:top w:val="nil"/>
              <w:bottom w:val="nil"/>
            </w:tcBorders>
          </w:tcPr>
          <w:p>
            <w:pPr>
              <w:rPr>
                <w:sz w:val="2"/>
                <w:szCs w:val="2"/>
              </w:rPr>
            </w:pPr>
          </w:p>
        </w:tc>
        <w:tc>
          <w:tcPr>
            <w:tcW w:w="741" w:type="dxa"/>
            <w:vMerge w:val="continue"/>
            <w:tcBorders>
              <w:top w:val="nil"/>
            </w:tcBorders>
          </w:tcPr>
          <w:p>
            <w:pPr>
              <w:rPr>
                <w:sz w:val="2"/>
                <w:szCs w:val="2"/>
              </w:rPr>
            </w:pPr>
          </w:p>
        </w:tc>
        <w:tc>
          <w:tcPr>
            <w:tcW w:w="1371" w:type="dxa"/>
            <w:vMerge w:val="continue"/>
            <w:tcBorders>
              <w:top w:val="nil"/>
            </w:tcBorders>
          </w:tcPr>
          <w:p>
            <w:pPr>
              <w:rPr>
                <w:sz w:val="2"/>
                <w:szCs w:val="2"/>
              </w:rPr>
            </w:pPr>
          </w:p>
        </w:tc>
        <w:tc>
          <w:tcPr>
            <w:tcW w:w="921" w:type="dxa"/>
          </w:tcPr>
          <w:p>
            <w:pPr>
              <w:pStyle w:val="12"/>
              <w:spacing w:before="7"/>
              <w:rPr>
                <w:rFonts w:ascii="仿宋"/>
                <w:sz w:val="14"/>
              </w:rPr>
            </w:pPr>
          </w:p>
          <w:p>
            <w:pPr>
              <w:pStyle w:val="12"/>
              <w:spacing w:before="1" w:line="242" w:lineRule="auto"/>
              <w:ind w:left="190" w:right="178"/>
              <w:rPr>
                <w:sz w:val="18"/>
              </w:rPr>
            </w:pPr>
            <w:r>
              <w:rPr>
                <w:sz w:val="18"/>
              </w:rPr>
              <w:t>参与抗疫时间</w:t>
            </w:r>
          </w:p>
        </w:tc>
        <w:tc>
          <w:tcPr>
            <w:tcW w:w="741" w:type="dxa"/>
          </w:tcPr>
          <w:p>
            <w:pPr>
              <w:pStyle w:val="12"/>
              <w:spacing w:before="10"/>
              <w:rPr>
                <w:rFonts w:ascii="仿宋"/>
                <w:sz w:val="23"/>
              </w:rPr>
            </w:pPr>
          </w:p>
          <w:p>
            <w:pPr>
              <w:pStyle w:val="12"/>
              <w:ind w:left="168" w:right="162"/>
              <w:jc w:val="center"/>
              <w:rPr>
                <w:sz w:val="18"/>
              </w:rPr>
            </w:pPr>
            <w:r>
              <w:rPr>
                <w:sz w:val="18"/>
              </w:rPr>
              <w:t>正向</w:t>
            </w:r>
          </w:p>
        </w:tc>
        <w:tc>
          <w:tcPr>
            <w:tcW w:w="580" w:type="dxa"/>
          </w:tcPr>
          <w:p>
            <w:pPr>
              <w:pStyle w:val="12"/>
              <w:spacing w:before="7"/>
              <w:rPr>
                <w:rFonts w:ascii="仿宋"/>
                <w:sz w:val="14"/>
              </w:rPr>
            </w:pPr>
          </w:p>
          <w:p>
            <w:pPr>
              <w:pStyle w:val="12"/>
              <w:spacing w:before="1" w:line="242" w:lineRule="auto"/>
              <w:ind w:left="107" w:right="96"/>
              <w:rPr>
                <w:sz w:val="18"/>
              </w:rPr>
            </w:pPr>
            <w:r>
              <w:rPr>
                <w:sz w:val="18"/>
              </w:rPr>
              <w:t>等于</w:t>
            </w:r>
          </w:p>
        </w:tc>
        <w:tc>
          <w:tcPr>
            <w:tcW w:w="504" w:type="dxa"/>
          </w:tcPr>
          <w:p>
            <w:pPr>
              <w:pStyle w:val="12"/>
              <w:spacing w:before="10"/>
              <w:rPr>
                <w:rFonts w:ascii="仿宋"/>
                <w:sz w:val="23"/>
              </w:rPr>
            </w:pPr>
          </w:p>
          <w:p>
            <w:pPr>
              <w:pStyle w:val="12"/>
              <w:ind w:left="11"/>
              <w:jc w:val="center"/>
              <w:rPr>
                <w:sz w:val="18"/>
              </w:rPr>
            </w:pPr>
            <w:r>
              <w:rPr>
                <w:sz w:val="18"/>
              </w:rPr>
              <w:t>1</w:t>
            </w:r>
          </w:p>
        </w:tc>
        <w:tc>
          <w:tcPr>
            <w:tcW w:w="576" w:type="dxa"/>
          </w:tcPr>
          <w:p>
            <w:pPr>
              <w:pStyle w:val="12"/>
              <w:spacing w:before="10"/>
              <w:rPr>
                <w:rFonts w:ascii="仿宋"/>
                <w:sz w:val="23"/>
              </w:rPr>
            </w:pPr>
          </w:p>
          <w:p>
            <w:pPr>
              <w:pStyle w:val="12"/>
              <w:ind w:left="9"/>
              <w:jc w:val="center"/>
              <w:rPr>
                <w:sz w:val="18"/>
              </w:rPr>
            </w:pPr>
            <w:r>
              <w:rPr>
                <w:sz w:val="18"/>
              </w:rPr>
              <w:t>1</w:t>
            </w:r>
          </w:p>
        </w:tc>
        <w:tc>
          <w:tcPr>
            <w:tcW w:w="600" w:type="dxa"/>
          </w:tcPr>
          <w:p>
            <w:pPr>
              <w:pStyle w:val="12"/>
              <w:spacing w:before="10"/>
              <w:rPr>
                <w:rFonts w:ascii="仿宋"/>
                <w:sz w:val="23"/>
              </w:rPr>
            </w:pPr>
          </w:p>
          <w:p>
            <w:pPr>
              <w:pStyle w:val="12"/>
              <w:ind w:right="198"/>
              <w:jc w:val="right"/>
              <w:rPr>
                <w:sz w:val="18"/>
              </w:rPr>
            </w:pPr>
            <w:r>
              <w:rPr>
                <w:sz w:val="18"/>
              </w:rPr>
              <w:t>月</w:t>
            </w:r>
          </w:p>
        </w:tc>
        <w:tc>
          <w:tcPr>
            <w:tcW w:w="593" w:type="dxa"/>
          </w:tcPr>
          <w:p>
            <w:pPr>
              <w:pStyle w:val="12"/>
              <w:spacing w:before="10"/>
              <w:rPr>
                <w:rFonts w:ascii="仿宋"/>
                <w:sz w:val="23"/>
              </w:rPr>
            </w:pPr>
          </w:p>
          <w:p>
            <w:pPr>
              <w:pStyle w:val="12"/>
              <w:ind w:left="6"/>
              <w:jc w:val="center"/>
              <w:rPr>
                <w:sz w:val="18"/>
              </w:rPr>
            </w:pPr>
            <w:r>
              <w:rPr>
                <w:sz w:val="18"/>
              </w:rPr>
              <w:t>5</w:t>
            </w:r>
          </w:p>
        </w:tc>
        <w:tc>
          <w:tcPr>
            <w:tcW w:w="666" w:type="dxa"/>
          </w:tcPr>
          <w:p>
            <w:pPr>
              <w:pStyle w:val="12"/>
              <w:spacing w:before="10"/>
              <w:rPr>
                <w:rFonts w:ascii="仿宋"/>
                <w:sz w:val="23"/>
              </w:rPr>
            </w:pPr>
          </w:p>
          <w:p>
            <w:pPr>
              <w:pStyle w:val="12"/>
              <w:ind w:left="10"/>
              <w:jc w:val="center"/>
              <w:rPr>
                <w:sz w:val="18"/>
              </w:rPr>
            </w:pPr>
            <w:r>
              <w:rPr>
                <w:sz w:val="18"/>
              </w:rPr>
              <w:t>5</w:t>
            </w:r>
          </w:p>
        </w:tc>
        <w:tc>
          <w:tcPr>
            <w:tcW w:w="727" w:type="dxa"/>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3" w:hRule="atLeast"/>
        </w:trPr>
        <w:tc>
          <w:tcPr>
            <w:tcW w:w="770" w:type="dxa"/>
            <w:vMerge w:val="continue"/>
            <w:tcBorders>
              <w:top w:val="nil"/>
              <w:bottom w:val="nil"/>
            </w:tcBorders>
          </w:tcPr>
          <w:p>
            <w:pPr>
              <w:rPr>
                <w:sz w:val="2"/>
                <w:szCs w:val="2"/>
              </w:rPr>
            </w:pPr>
          </w:p>
        </w:tc>
        <w:tc>
          <w:tcPr>
            <w:tcW w:w="741" w:type="dxa"/>
            <w:vMerge w:val="continue"/>
            <w:tcBorders>
              <w:top w:val="nil"/>
            </w:tcBorders>
          </w:tcPr>
          <w:p>
            <w:pPr>
              <w:rPr>
                <w:sz w:val="2"/>
                <w:szCs w:val="2"/>
              </w:rPr>
            </w:pPr>
          </w:p>
        </w:tc>
        <w:tc>
          <w:tcPr>
            <w:tcW w:w="1371" w:type="dxa"/>
            <w:vMerge w:val="restart"/>
          </w:tcPr>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spacing w:before="4"/>
              <w:rPr>
                <w:rFonts w:ascii="仿宋"/>
                <w:sz w:val="22"/>
              </w:rPr>
            </w:pPr>
          </w:p>
          <w:p>
            <w:pPr>
              <w:pStyle w:val="12"/>
              <w:ind w:left="325"/>
              <w:rPr>
                <w:sz w:val="18"/>
              </w:rPr>
            </w:pPr>
            <w:r>
              <w:rPr>
                <w:sz w:val="18"/>
              </w:rPr>
              <w:t>成本指标</w:t>
            </w:r>
          </w:p>
        </w:tc>
        <w:tc>
          <w:tcPr>
            <w:tcW w:w="921" w:type="dxa"/>
          </w:tcPr>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spacing w:before="2"/>
              <w:rPr>
                <w:rFonts w:ascii="仿宋"/>
                <w:sz w:val="19"/>
              </w:rPr>
            </w:pPr>
          </w:p>
          <w:p>
            <w:pPr>
              <w:pStyle w:val="12"/>
              <w:ind w:left="190"/>
              <w:rPr>
                <w:sz w:val="18"/>
              </w:rPr>
            </w:pPr>
            <w:r>
              <w:rPr>
                <w:sz w:val="18"/>
              </w:rPr>
              <w:t>办公费</w:t>
            </w:r>
          </w:p>
        </w:tc>
        <w:tc>
          <w:tcPr>
            <w:tcW w:w="741" w:type="dxa"/>
          </w:tcPr>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spacing w:before="2"/>
              <w:rPr>
                <w:rFonts w:ascii="仿宋"/>
                <w:sz w:val="19"/>
              </w:rPr>
            </w:pPr>
          </w:p>
          <w:p>
            <w:pPr>
              <w:pStyle w:val="12"/>
              <w:ind w:left="168" w:right="162"/>
              <w:jc w:val="center"/>
              <w:rPr>
                <w:sz w:val="18"/>
              </w:rPr>
            </w:pPr>
            <w:r>
              <w:rPr>
                <w:sz w:val="18"/>
              </w:rPr>
              <w:t>正向</w:t>
            </w:r>
          </w:p>
        </w:tc>
        <w:tc>
          <w:tcPr>
            <w:tcW w:w="580" w:type="dxa"/>
          </w:tcPr>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spacing w:before="130" w:line="242" w:lineRule="auto"/>
              <w:ind w:left="107" w:right="96"/>
              <w:rPr>
                <w:sz w:val="18"/>
              </w:rPr>
            </w:pPr>
            <w:r>
              <w:rPr>
                <w:sz w:val="18"/>
              </w:rPr>
              <w:t>等于</w:t>
            </w:r>
          </w:p>
        </w:tc>
        <w:tc>
          <w:tcPr>
            <w:tcW w:w="504" w:type="dxa"/>
          </w:tcPr>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spacing w:before="2"/>
              <w:rPr>
                <w:rFonts w:ascii="仿宋"/>
                <w:sz w:val="19"/>
              </w:rPr>
            </w:pPr>
          </w:p>
          <w:p>
            <w:pPr>
              <w:pStyle w:val="12"/>
              <w:ind w:left="99" w:right="88"/>
              <w:jc w:val="center"/>
              <w:rPr>
                <w:sz w:val="18"/>
              </w:rPr>
            </w:pPr>
            <w:r>
              <w:rPr>
                <w:sz w:val="18"/>
              </w:rPr>
              <w:t>26560</w:t>
            </w:r>
          </w:p>
        </w:tc>
        <w:tc>
          <w:tcPr>
            <w:tcW w:w="576" w:type="dxa"/>
          </w:tcPr>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spacing w:before="2"/>
              <w:rPr>
                <w:rFonts w:ascii="仿宋"/>
                <w:sz w:val="19"/>
              </w:rPr>
            </w:pPr>
          </w:p>
          <w:p>
            <w:pPr>
              <w:pStyle w:val="12"/>
              <w:ind w:left="88" w:right="77"/>
              <w:jc w:val="center"/>
              <w:rPr>
                <w:sz w:val="18"/>
              </w:rPr>
            </w:pPr>
            <w:r>
              <w:rPr>
                <w:sz w:val="18"/>
              </w:rPr>
              <w:t>7797</w:t>
            </w:r>
          </w:p>
        </w:tc>
        <w:tc>
          <w:tcPr>
            <w:tcW w:w="600" w:type="dxa"/>
          </w:tcPr>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spacing w:before="2"/>
              <w:rPr>
                <w:rFonts w:ascii="仿宋"/>
                <w:sz w:val="19"/>
              </w:rPr>
            </w:pPr>
          </w:p>
          <w:p>
            <w:pPr>
              <w:pStyle w:val="12"/>
              <w:ind w:right="198"/>
              <w:jc w:val="right"/>
              <w:rPr>
                <w:sz w:val="18"/>
              </w:rPr>
            </w:pPr>
            <w:r>
              <w:rPr>
                <w:sz w:val="18"/>
              </w:rPr>
              <w:t>元</w:t>
            </w:r>
          </w:p>
        </w:tc>
        <w:tc>
          <w:tcPr>
            <w:tcW w:w="593" w:type="dxa"/>
          </w:tcPr>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spacing w:before="2"/>
              <w:rPr>
                <w:rFonts w:ascii="仿宋"/>
                <w:sz w:val="19"/>
              </w:rPr>
            </w:pPr>
          </w:p>
          <w:p>
            <w:pPr>
              <w:pStyle w:val="12"/>
              <w:ind w:left="6"/>
              <w:jc w:val="center"/>
              <w:rPr>
                <w:sz w:val="18"/>
              </w:rPr>
            </w:pPr>
            <w:r>
              <w:rPr>
                <w:sz w:val="18"/>
              </w:rPr>
              <w:t>4</w:t>
            </w:r>
          </w:p>
        </w:tc>
        <w:tc>
          <w:tcPr>
            <w:tcW w:w="666" w:type="dxa"/>
          </w:tcPr>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spacing w:before="2"/>
              <w:rPr>
                <w:rFonts w:ascii="仿宋"/>
                <w:sz w:val="19"/>
              </w:rPr>
            </w:pPr>
          </w:p>
          <w:p>
            <w:pPr>
              <w:pStyle w:val="12"/>
              <w:ind w:left="122" w:right="110"/>
              <w:jc w:val="center"/>
              <w:rPr>
                <w:sz w:val="18"/>
              </w:rPr>
            </w:pPr>
            <w:r>
              <w:rPr>
                <w:sz w:val="18"/>
              </w:rPr>
              <w:t>1.17</w:t>
            </w:r>
          </w:p>
        </w:tc>
        <w:tc>
          <w:tcPr>
            <w:tcW w:w="727" w:type="dxa"/>
          </w:tcPr>
          <w:p>
            <w:pPr>
              <w:pStyle w:val="12"/>
              <w:spacing w:before="2" w:line="242" w:lineRule="auto"/>
              <w:ind w:right="171"/>
              <w:jc w:val="both"/>
              <w:rPr>
                <w:sz w:val="18"/>
              </w:rPr>
            </w:pPr>
            <w:r>
              <w:rPr>
                <w:spacing w:val="-9"/>
                <w:sz w:val="18"/>
              </w:rPr>
              <w:t>因该项目资金拨付</w:t>
            </w:r>
            <w:r>
              <w:rPr>
                <w:sz w:val="18"/>
              </w:rPr>
              <w:t xml:space="preserve">较 </w:t>
            </w:r>
            <w:r>
              <w:rPr>
                <w:spacing w:val="-9"/>
                <w:sz w:val="18"/>
              </w:rPr>
              <w:t>晚， 部分资金还未</w:t>
            </w:r>
            <w:r>
              <w:rPr>
                <w:sz w:val="18"/>
              </w:rPr>
              <w:t>支</w:t>
            </w:r>
          </w:p>
          <w:p>
            <w:pPr>
              <w:pStyle w:val="12"/>
              <w:spacing w:before="6" w:line="211" w:lineRule="exact"/>
              <w:ind w:left="163" w:right="153"/>
              <w:jc w:val="center"/>
              <w:rPr>
                <w:sz w:val="18"/>
              </w:rPr>
            </w:pPr>
            <w:r>
              <w:rPr>
                <w:sz w:val="18"/>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0" w:hRule="atLeast"/>
        </w:trPr>
        <w:tc>
          <w:tcPr>
            <w:tcW w:w="770" w:type="dxa"/>
            <w:vMerge w:val="continue"/>
            <w:tcBorders>
              <w:top w:val="nil"/>
              <w:bottom w:val="nil"/>
            </w:tcBorders>
          </w:tcPr>
          <w:p>
            <w:pPr>
              <w:rPr>
                <w:sz w:val="2"/>
                <w:szCs w:val="2"/>
              </w:rPr>
            </w:pPr>
          </w:p>
        </w:tc>
        <w:tc>
          <w:tcPr>
            <w:tcW w:w="741" w:type="dxa"/>
            <w:vMerge w:val="continue"/>
            <w:tcBorders>
              <w:top w:val="nil"/>
            </w:tcBorders>
          </w:tcPr>
          <w:p>
            <w:pPr>
              <w:rPr>
                <w:sz w:val="2"/>
                <w:szCs w:val="2"/>
              </w:rPr>
            </w:pPr>
          </w:p>
        </w:tc>
        <w:tc>
          <w:tcPr>
            <w:tcW w:w="1371" w:type="dxa"/>
            <w:vMerge w:val="continue"/>
            <w:tcBorders>
              <w:top w:val="nil"/>
            </w:tcBorders>
          </w:tcPr>
          <w:p>
            <w:pPr>
              <w:rPr>
                <w:sz w:val="2"/>
                <w:szCs w:val="2"/>
              </w:rPr>
            </w:pPr>
          </w:p>
        </w:tc>
        <w:tc>
          <w:tcPr>
            <w:tcW w:w="921" w:type="dxa"/>
          </w:tcPr>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spacing w:before="128" w:line="242" w:lineRule="auto"/>
              <w:ind w:left="190" w:right="178"/>
              <w:rPr>
                <w:sz w:val="18"/>
              </w:rPr>
            </w:pPr>
            <w:r>
              <w:rPr>
                <w:sz w:val="18"/>
              </w:rPr>
              <w:t>其他交通费用</w:t>
            </w:r>
          </w:p>
        </w:tc>
        <w:tc>
          <w:tcPr>
            <w:tcW w:w="741" w:type="dxa"/>
          </w:tcPr>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spacing w:before="2"/>
              <w:rPr>
                <w:rFonts w:ascii="仿宋"/>
                <w:sz w:val="19"/>
              </w:rPr>
            </w:pPr>
          </w:p>
          <w:p>
            <w:pPr>
              <w:pStyle w:val="12"/>
              <w:ind w:left="168" w:right="162"/>
              <w:jc w:val="center"/>
              <w:rPr>
                <w:sz w:val="18"/>
              </w:rPr>
            </w:pPr>
            <w:r>
              <w:rPr>
                <w:sz w:val="18"/>
              </w:rPr>
              <w:t>正向</w:t>
            </w:r>
          </w:p>
        </w:tc>
        <w:tc>
          <w:tcPr>
            <w:tcW w:w="580" w:type="dxa"/>
          </w:tcPr>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spacing w:before="128" w:line="242" w:lineRule="auto"/>
              <w:ind w:left="107" w:right="96"/>
              <w:rPr>
                <w:sz w:val="18"/>
              </w:rPr>
            </w:pPr>
            <w:r>
              <w:rPr>
                <w:sz w:val="18"/>
              </w:rPr>
              <w:t>等于</w:t>
            </w:r>
          </w:p>
        </w:tc>
        <w:tc>
          <w:tcPr>
            <w:tcW w:w="504" w:type="dxa"/>
          </w:tcPr>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spacing w:before="2"/>
              <w:rPr>
                <w:rFonts w:ascii="仿宋"/>
                <w:sz w:val="19"/>
              </w:rPr>
            </w:pPr>
          </w:p>
          <w:p>
            <w:pPr>
              <w:pStyle w:val="12"/>
              <w:ind w:left="96" w:right="88"/>
              <w:jc w:val="center"/>
              <w:rPr>
                <w:sz w:val="18"/>
              </w:rPr>
            </w:pPr>
            <w:r>
              <w:rPr>
                <w:sz w:val="18"/>
              </w:rPr>
              <w:t>3000</w:t>
            </w:r>
          </w:p>
        </w:tc>
        <w:tc>
          <w:tcPr>
            <w:tcW w:w="576" w:type="dxa"/>
          </w:tcPr>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spacing w:before="2"/>
              <w:rPr>
                <w:rFonts w:ascii="仿宋"/>
                <w:sz w:val="19"/>
              </w:rPr>
            </w:pPr>
          </w:p>
          <w:p>
            <w:pPr>
              <w:pStyle w:val="12"/>
              <w:ind w:left="9"/>
              <w:jc w:val="center"/>
              <w:rPr>
                <w:sz w:val="18"/>
              </w:rPr>
            </w:pPr>
            <w:r>
              <w:rPr>
                <w:sz w:val="18"/>
              </w:rPr>
              <w:t>0</w:t>
            </w:r>
          </w:p>
        </w:tc>
        <w:tc>
          <w:tcPr>
            <w:tcW w:w="600" w:type="dxa"/>
          </w:tcPr>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spacing w:before="2"/>
              <w:rPr>
                <w:rFonts w:ascii="仿宋"/>
                <w:sz w:val="19"/>
              </w:rPr>
            </w:pPr>
          </w:p>
          <w:p>
            <w:pPr>
              <w:pStyle w:val="12"/>
              <w:ind w:right="198"/>
              <w:jc w:val="right"/>
              <w:rPr>
                <w:sz w:val="18"/>
              </w:rPr>
            </w:pPr>
            <w:r>
              <w:rPr>
                <w:sz w:val="18"/>
              </w:rPr>
              <w:t>元</w:t>
            </w:r>
          </w:p>
        </w:tc>
        <w:tc>
          <w:tcPr>
            <w:tcW w:w="593" w:type="dxa"/>
          </w:tcPr>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spacing w:before="2"/>
              <w:rPr>
                <w:rFonts w:ascii="仿宋"/>
                <w:sz w:val="19"/>
              </w:rPr>
            </w:pPr>
          </w:p>
          <w:p>
            <w:pPr>
              <w:pStyle w:val="12"/>
              <w:ind w:left="6"/>
              <w:jc w:val="center"/>
              <w:rPr>
                <w:sz w:val="18"/>
              </w:rPr>
            </w:pPr>
            <w:r>
              <w:rPr>
                <w:sz w:val="18"/>
              </w:rPr>
              <w:t>3</w:t>
            </w:r>
          </w:p>
        </w:tc>
        <w:tc>
          <w:tcPr>
            <w:tcW w:w="666" w:type="dxa"/>
          </w:tcPr>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spacing w:before="2"/>
              <w:rPr>
                <w:rFonts w:ascii="仿宋"/>
                <w:sz w:val="19"/>
              </w:rPr>
            </w:pPr>
          </w:p>
          <w:p>
            <w:pPr>
              <w:pStyle w:val="12"/>
              <w:ind w:left="10"/>
              <w:jc w:val="center"/>
              <w:rPr>
                <w:sz w:val="18"/>
              </w:rPr>
            </w:pPr>
            <w:r>
              <w:rPr>
                <w:sz w:val="18"/>
              </w:rPr>
              <w:t>0</w:t>
            </w:r>
          </w:p>
        </w:tc>
        <w:tc>
          <w:tcPr>
            <w:tcW w:w="727" w:type="dxa"/>
          </w:tcPr>
          <w:p>
            <w:pPr>
              <w:pStyle w:val="12"/>
              <w:spacing w:before="1" w:line="242" w:lineRule="auto"/>
              <w:ind w:right="171"/>
              <w:jc w:val="both"/>
              <w:rPr>
                <w:sz w:val="18"/>
              </w:rPr>
            </w:pPr>
            <w:r>
              <w:rPr>
                <w:spacing w:val="-9"/>
                <w:sz w:val="18"/>
              </w:rPr>
              <w:t>因该项目资金拨付</w:t>
            </w:r>
            <w:r>
              <w:rPr>
                <w:sz w:val="18"/>
              </w:rPr>
              <w:t xml:space="preserve">较 </w:t>
            </w:r>
            <w:r>
              <w:rPr>
                <w:spacing w:val="-9"/>
                <w:sz w:val="18"/>
              </w:rPr>
              <w:t>晚， 部分资金还未</w:t>
            </w:r>
            <w:r>
              <w:rPr>
                <w:sz w:val="18"/>
              </w:rPr>
              <w:t>支</w:t>
            </w:r>
          </w:p>
          <w:p>
            <w:pPr>
              <w:pStyle w:val="12"/>
              <w:spacing w:before="4" w:line="214" w:lineRule="exact"/>
              <w:ind w:left="163" w:right="153"/>
              <w:jc w:val="center"/>
              <w:rPr>
                <w:sz w:val="18"/>
              </w:rPr>
            </w:pPr>
            <w:r>
              <w:rPr>
                <w:sz w:val="18"/>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5" w:hRule="atLeast"/>
        </w:trPr>
        <w:tc>
          <w:tcPr>
            <w:tcW w:w="770" w:type="dxa"/>
            <w:vMerge w:val="continue"/>
            <w:tcBorders>
              <w:top w:val="nil"/>
              <w:bottom w:val="nil"/>
            </w:tcBorders>
          </w:tcPr>
          <w:p>
            <w:pPr>
              <w:rPr>
                <w:sz w:val="2"/>
                <w:szCs w:val="2"/>
              </w:rPr>
            </w:pPr>
          </w:p>
        </w:tc>
        <w:tc>
          <w:tcPr>
            <w:tcW w:w="741" w:type="dxa"/>
            <w:vMerge w:val="continue"/>
            <w:tcBorders>
              <w:top w:val="nil"/>
            </w:tcBorders>
          </w:tcPr>
          <w:p>
            <w:pPr>
              <w:rPr>
                <w:sz w:val="2"/>
                <w:szCs w:val="2"/>
              </w:rPr>
            </w:pPr>
          </w:p>
        </w:tc>
        <w:tc>
          <w:tcPr>
            <w:tcW w:w="1371" w:type="dxa"/>
            <w:vMerge w:val="continue"/>
            <w:tcBorders>
              <w:top w:val="nil"/>
            </w:tcBorders>
          </w:tcPr>
          <w:p>
            <w:pPr>
              <w:rPr>
                <w:sz w:val="2"/>
                <w:szCs w:val="2"/>
              </w:rPr>
            </w:pPr>
          </w:p>
        </w:tc>
        <w:tc>
          <w:tcPr>
            <w:tcW w:w="921" w:type="dxa"/>
          </w:tcPr>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spacing w:before="127" w:line="244" w:lineRule="auto"/>
              <w:ind w:left="370" w:right="178" w:hanging="180"/>
              <w:rPr>
                <w:sz w:val="18"/>
              </w:rPr>
            </w:pPr>
            <w:r>
              <w:rPr>
                <w:sz w:val="18"/>
              </w:rPr>
              <w:t>专用料费</w:t>
            </w:r>
          </w:p>
        </w:tc>
        <w:tc>
          <w:tcPr>
            <w:tcW w:w="741" w:type="dxa"/>
          </w:tcPr>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spacing w:before="1"/>
              <w:rPr>
                <w:rFonts w:ascii="仿宋"/>
                <w:sz w:val="19"/>
              </w:rPr>
            </w:pPr>
          </w:p>
          <w:p>
            <w:pPr>
              <w:pStyle w:val="12"/>
              <w:ind w:left="168" w:right="162"/>
              <w:jc w:val="center"/>
              <w:rPr>
                <w:sz w:val="18"/>
              </w:rPr>
            </w:pPr>
            <w:r>
              <w:rPr>
                <w:sz w:val="18"/>
              </w:rPr>
              <w:t>正向</w:t>
            </w:r>
          </w:p>
        </w:tc>
        <w:tc>
          <w:tcPr>
            <w:tcW w:w="580" w:type="dxa"/>
          </w:tcPr>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spacing w:before="127" w:line="244" w:lineRule="auto"/>
              <w:ind w:left="107" w:right="96"/>
              <w:rPr>
                <w:sz w:val="18"/>
              </w:rPr>
            </w:pPr>
            <w:r>
              <w:rPr>
                <w:sz w:val="18"/>
              </w:rPr>
              <w:t>等于</w:t>
            </w:r>
          </w:p>
        </w:tc>
        <w:tc>
          <w:tcPr>
            <w:tcW w:w="504" w:type="dxa"/>
          </w:tcPr>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spacing w:before="1"/>
              <w:rPr>
                <w:rFonts w:ascii="仿宋"/>
                <w:sz w:val="19"/>
              </w:rPr>
            </w:pPr>
          </w:p>
          <w:p>
            <w:pPr>
              <w:pStyle w:val="12"/>
              <w:ind w:left="96" w:right="88"/>
              <w:jc w:val="center"/>
              <w:rPr>
                <w:sz w:val="18"/>
              </w:rPr>
            </w:pPr>
            <w:r>
              <w:rPr>
                <w:sz w:val="18"/>
              </w:rPr>
              <w:t>5000</w:t>
            </w:r>
          </w:p>
        </w:tc>
        <w:tc>
          <w:tcPr>
            <w:tcW w:w="576" w:type="dxa"/>
          </w:tcPr>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spacing w:before="1"/>
              <w:rPr>
                <w:rFonts w:ascii="仿宋"/>
                <w:sz w:val="19"/>
              </w:rPr>
            </w:pPr>
          </w:p>
          <w:p>
            <w:pPr>
              <w:pStyle w:val="12"/>
              <w:ind w:left="88" w:right="77"/>
              <w:jc w:val="center"/>
              <w:rPr>
                <w:sz w:val="18"/>
              </w:rPr>
            </w:pPr>
            <w:r>
              <w:rPr>
                <w:sz w:val="18"/>
              </w:rPr>
              <w:t>3740</w:t>
            </w:r>
          </w:p>
        </w:tc>
        <w:tc>
          <w:tcPr>
            <w:tcW w:w="600" w:type="dxa"/>
          </w:tcPr>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spacing w:before="1"/>
              <w:rPr>
                <w:rFonts w:ascii="仿宋"/>
                <w:sz w:val="19"/>
              </w:rPr>
            </w:pPr>
          </w:p>
          <w:p>
            <w:pPr>
              <w:pStyle w:val="12"/>
              <w:ind w:right="198"/>
              <w:jc w:val="right"/>
              <w:rPr>
                <w:sz w:val="18"/>
              </w:rPr>
            </w:pPr>
            <w:r>
              <w:rPr>
                <w:sz w:val="18"/>
              </w:rPr>
              <w:t>元</w:t>
            </w:r>
          </w:p>
        </w:tc>
        <w:tc>
          <w:tcPr>
            <w:tcW w:w="593" w:type="dxa"/>
          </w:tcPr>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spacing w:before="1"/>
              <w:rPr>
                <w:rFonts w:ascii="仿宋"/>
                <w:sz w:val="19"/>
              </w:rPr>
            </w:pPr>
          </w:p>
          <w:p>
            <w:pPr>
              <w:pStyle w:val="12"/>
              <w:ind w:left="6"/>
              <w:jc w:val="center"/>
              <w:rPr>
                <w:sz w:val="18"/>
              </w:rPr>
            </w:pPr>
            <w:r>
              <w:rPr>
                <w:sz w:val="18"/>
              </w:rPr>
              <w:t>3</w:t>
            </w:r>
          </w:p>
        </w:tc>
        <w:tc>
          <w:tcPr>
            <w:tcW w:w="666" w:type="dxa"/>
          </w:tcPr>
          <w:p>
            <w:pPr>
              <w:pStyle w:val="12"/>
              <w:rPr>
                <w:rFonts w:ascii="仿宋"/>
                <w:sz w:val="18"/>
              </w:rPr>
            </w:pPr>
          </w:p>
          <w:p>
            <w:pPr>
              <w:pStyle w:val="12"/>
              <w:rPr>
                <w:rFonts w:ascii="仿宋"/>
                <w:sz w:val="18"/>
              </w:rPr>
            </w:pPr>
          </w:p>
          <w:p>
            <w:pPr>
              <w:pStyle w:val="12"/>
              <w:rPr>
                <w:rFonts w:ascii="仿宋"/>
                <w:sz w:val="18"/>
              </w:rPr>
            </w:pPr>
          </w:p>
          <w:p>
            <w:pPr>
              <w:pStyle w:val="12"/>
              <w:rPr>
                <w:rFonts w:ascii="仿宋"/>
                <w:sz w:val="18"/>
              </w:rPr>
            </w:pPr>
          </w:p>
          <w:p>
            <w:pPr>
              <w:pStyle w:val="12"/>
              <w:spacing w:before="1"/>
              <w:rPr>
                <w:rFonts w:ascii="仿宋"/>
                <w:sz w:val="19"/>
              </w:rPr>
            </w:pPr>
          </w:p>
          <w:p>
            <w:pPr>
              <w:pStyle w:val="12"/>
              <w:ind w:left="122" w:right="110"/>
              <w:jc w:val="center"/>
              <w:rPr>
                <w:sz w:val="18"/>
              </w:rPr>
            </w:pPr>
            <w:r>
              <w:rPr>
                <w:sz w:val="18"/>
              </w:rPr>
              <w:t>2.24</w:t>
            </w:r>
          </w:p>
        </w:tc>
        <w:tc>
          <w:tcPr>
            <w:tcW w:w="727" w:type="dxa"/>
          </w:tcPr>
          <w:p>
            <w:pPr>
              <w:pStyle w:val="12"/>
              <w:spacing w:before="1" w:line="242" w:lineRule="auto"/>
              <w:ind w:right="171"/>
              <w:jc w:val="both"/>
              <w:rPr>
                <w:sz w:val="18"/>
              </w:rPr>
            </w:pPr>
            <w:r>
              <w:rPr>
                <w:spacing w:val="-9"/>
                <w:sz w:val="18"/>
              </w:rPr>
              <w:t>因该项目资金拨付</w:t>
            </w:r>
            <w:r>
              <w:rPr>
                <w:sz w:val="18"/>
              </w:rPr>
              <w:t xml:space="preserve">较 </w:t>
            </w:r>
            <w:r>
              <w:rPr>
                <w:spacing w:val="-9"/>
                <w:sz w:val="18"/>
              </w:rPr>
              <w:t>晚， 部分资金还未</w:t>
            </w:r>
            <w:r>
              <w:rPr>
                <w:sz w:val="18"/>
              </w:rPr>
              <w:t>支</w:t>
            </w:r>
          </w:p>
          <w:p>
            <w:pPr>
              <w:pStyle w:val="12"/>
              <w:spacing w:before="3" w:line="213" w:lineRule="exact"/>
              <w:ind w:left="163" w:right="153"/>
              <w:jc w:val="center"/>
              <w:rPr>
                <w:sz w:val="18"/>
              </w:rPr>
            </w:pPr>
            <w:r>
              <w:rPr>
                <w:sz w:val="18"/>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770" w:type="dxa"/>
            <w:vMerge w:val="continue"/>
            <w:tcBorders>
              <w:top w:val="nil"/>
              <w:bottom w:val="nil"/>
            </w:tcBorders>
          </w:tcPr>
          <w:p>
            <w:pPr>
              <w:rPr>
                <w:sz w:val="2"/>
                <w:szCs w:val="2"/>
              </w:rPr>
            </w:pPr>
          </w:p>
        </w:tc>
        <w:tc>
          <w:tcPr>
            <w:tcW w:w="741" w:type="dxa"/>
            <w:vMerge w:val="restart"/>
          </w:tcPr>
          <w:p>
            <w:pPr>
              <w:pStyle w:val="12"/>
              <w:rPr>
                <w:rFonts w:ascii="仿宋"/>
                <w:sz w:val="18"/>
              </w:rPr>
            </w:pPr>
          </w:p>
          <w:p>
            <w:pPr>
              <w:pStyle w:val="12"/>
              <w:rPr>
                <w:rFonts w:ascii="仿宋"/>
                <w:sz w:val="18"/>
              </w:rPr>
            </w:pPr>
          </w:p>
          <w:p>
            <w:pPr>
              <w:pStyle w:val="12"/>
              <w:spacing w:before="2"/>
              <w:rPr>
                <w:rFonts w:ascii="仿宋"/>
                <w:sz w:val="19"/>
              </w:rPr>
            </w:pPr>
          </w:p>
          <w:p>
            <w:pPr>
              <w:pStyle w:val="12"/>
              <w:spacing w:line="242" w:lineRule="auto"/>
              <w:ind w:left="190" w:right="178"/>
              <w:rPr>
                <w:sz w:val="18"/>
              </w:rPr>
            </w:pPr>
            <w:r>
              <w:rPr>
                <w:sz w:val="18"/>
              </w:rPr>
              <w:t>效益指标</w:t>
            </w:r>
          </w:p>
        </w:tc>
        <w:tc>
          <w:tcPr>
            <w:tcW w:w="1371" w:type="dxa"/>
          </w:tcPr>
          <w:p>
            <w:pPr>
              <w:pStyle w:val="12"/>
              <w:rPr>
                <w:rFonts w:ascii="仿宋"/>
                <w:sz w:val="18"/>
              </w:rPr>
            </w:pPr>
          </w:p>
          <w:p>
            <w:pPr>
              <w:pStyle w:val="12"/>
              <w:spacing w:before="121"/>
              <w:ind w:left="125" w:right="116"/>
              <w:jc w:val="center"/>
              <w:rPr>
                <w:sz w:val="18"/>
              </w:rPr>
            </w:pPr>
            <w:r>
              <w:rPr>
                <w:sz w:val="18"/>
              </w:rPr>
              <w:t>社会效益</w:t>
            </w:r>
          </w:p>
        </w:tc>
        <w:tc>
          <w:tcPr>
            <w:tcW w:w="921" w:type="dxa"/>
          </w:tcPr>
          <w:p>
            <w:pPr>
              <w:pStyle w:val="12"/>
              <w:spacing w:before="1" w:line="242" w:lineRule="auto"/>
              <w:ind w:left="190" w:right="178"/>
              <w:jc w:val="both"/>
              <w:rPr>
                <w:sz w:val="18"/>
              </w:rPr>
            </w:pPr>
            <w:r>
              <w:rPr>
                <w:spacing w:val="-6"/>
                <w:sz w:val="18"/>
              </w:rPr>
              <w:t>保障疫情防控工作有</w:t>
            </w:r>
          </w:p>
          <w:p>
            <w:pPr>
              <w:pStyle w:val="12"/>
              <w:spacing w:before="2" w:line="211" w:lineRule="exact"/>
              <w:ind w:left="190"/>
              <w:rPr>
                <w:sz w:val="18"/>
              </w:rPr>
            </w:pPr>
            <w:r>
              <w:rPr>
                <w:sz w:val="18"/>
              </w:rPr>
              <w:t>序完成</w:t>
            </w:r>
          </w:p>
        </w:tc>
        <w:tc>
          <w:tcPr>
            <w:tcW w:w="741" w:type="dxa"/>
          </w:tcPr>
          <w:p>
            <w:pPr>
              <w:pStyle w:val="12"/>
              <w:rPr>
                <w:rFonts w:ascii="仿宋"/>
                <w:sz w:val="18"/>
              </w:rPr>
            </w:pPr>
          </w:p>
          <w:p>
            <w:pPr>
              <w:pStyle w:val="12"/>
              <w:spacing w:before="121"/>
              <w:ind w:left="168" w:right="162"/>
              <w:jc w:val="center"/>
              <w:rPr>
                <w:sz w:val="18"/>
              </w:rPr>
            </w:pPr>
            <w:r>
              <w:rPr>
                <w:sz w:val="18"/>
              </w:rPr>
              <w:t>正向</w:t>
            </w:r>
          </w:p>
        </w:tc>
        <w:tc>
          <w:tcPr>
            <w:tcW w:w="580" w:type="dxa"/>
          </w:tcPr>
          <w:p>
            <w:pPr>
              <w:pStyle w:val="12"/>
              <w:spacing w:before="1" w:line="242" w:lineRule="auto"/>
              <w:ind w:left="107" w:right="96"/>
              <w:jc w:val="both"/>
              <w:rPr>
                <w:sz w:val="18"/>
              </w:rPr>
            </w:pPr>
            <w:r>
              <w:rPr>
                <w:sz w:val="18"/>
              </w:rPr>
              <w:t>大于等</w:t>
            </w:r>
          </w:p>
          <w:p>
            <w:pPr>
              <w:pStyle w:val="12"/>
              <w:spacing w:before="2" w:line="211" w:lineRule="exact"/>
              <w:ind w:left="107"/>
              <w:rPr>
                <w:sz w:val="18"/>
              </w:rPr>
            </w:pPr>
            <w:r>
              <w:rPr>
                <w:sz w:val="18"/>
              </w:rPr>
              <w:t>于</w:t>
            </w:r>
          </w:p>
        </w:tc>
        <w:tc>
          <w:tcPr>
            <w:tcW w:w="504" w:type="dxa"/>
          </w:tcPr>
          <w:p>
            <w:pPr>
              <w:pStyle w:val="12"/>
              <w:rPr>
                <w:rFonts w:ascii="仿宋"/>
                <w:sz w:val="18"/>
              </w:rPr>
            </w:pPr>
          </w:p>
          <w:p>
            <w:pPr>
              <w:pStyle w:val="12"/>
              <w:spacing w:before="121"/>
              <w:ind w:left="99" w:right="88"/>
              <w:jc w:val="center"/>
              <w:rPr>
                <w:sz w:val="18"/>
              </w:rPr>
            </w:pPr>
            <w:r>
              <w:rPr>
                <w:sz w:val="18"/>
              </w:rPr>
              <w:t>90</w:t>
            </w:r>
          </w:p>
        </w:tc>
        <w:tc>
          <w:tcPr>
            <w:tcW w:w="576" w:type="dxa"/>
          </w:tcPr>
          <w:p>
            <w:pPr>
              <w:pStyle w:val="12"/>
              <w:rPr>
                <w:rFonts w:ascii="仿宋"/>
                <w:sz w:val="18"/>
              </w:rPr>
            </w:pPr>
          </w:p>
          <w:p>
            <w:pPr>
              <w:pStyle w:val="12"/>
              <w:spacing w:before="121"/>
              <w:ind w:left="86" w:right="77"/>
              <w:jc w:val="center"/>
              <w:rPr>
                <w:sz w:val="18"/>
              </w:rPr>
            </w:pPr>
            <w:r>
              <w:rPr>
                <w:sz w:val="18"/>
              </w:rPr>
              <w:t>90</w:t>
            </w:r>
          </w:p>
        </w:tc>
        <w:tc>
          <w:tcPr>
            <w:tcW w:w="600" w:type="dxa"/>
          </w:tcPr>
          <w:p>
            <w:pPr>
              <w:pStyle w:val="12"/>
              <w:rPr>
                <w:rFonts w:ascii="仿宋"/>
                <w:sz w:val="18"/>
              </w:rPr>
            </w:pPr>
          </w:p>
          <w:p>
            <w:pPr>
              <w:pStyle w:val="12"/>
              <w:spacing w:before="121"/>
              <w:ind w:right="243"/>
              <w:jc w:val="right"/>
              <w:rPr>
                <w:sz w:val="18"/>
              </w:rPr>
            </w:pPr>
            <w:r>
              <w:rPr>
                <w:sz w:val="18"/>
              </w:rPr>
              <w:t>%</w:t>
            </w:r>
          </w:p>
        </w:tc>
        <w:tc>
          <w:tcPr>
            <w:tcW w:w="593" w:type="dxa"/>
          </w:tcPr>
          <w:p>
            <w:pPr>
              <w:pStyle w:val="12"/>
              <w:rPr>
                <w:rFonts w:ascii="仿宋"/>
                <w:sz w:val="18"/>
              </w:rPr>
            </w:pPr>
          </w:p>
          <w:p>
            <w:pPr>
              <w:pStyle w:val="12"/>
              <w:spacing w:before="121"/>
              <w:ind w:left="95" w:right="84"/>
              <w:jc w:val="center"/>
              <w:rPr>
                <w:sz w:val="18"/>
              </w:rPr>
            </w:pPr>
            <w:r>
              <w:rPr>
                <w:sz w:val="18"/>
              </w:rPr>
              <w:t>15</w:t>
            </w:r>
          </w:p>
        </w:tc>
        <w:tc>
          <w:tcPr>
            <w:tcW w:w="666" w:type="dxa"/>
          </w:tcPr>
          <w:p>
            <w:pPr>
              <w:pStyle w:val="12"/>
              <w:rPr>
                <w:rFonts w:ascii="仿宋"/>
                <w:sz w:val="18"/>
              </w:rPr>
            </w:pPr>
          </w:p>
          <w:p>
            <w:pPr>
              <w:pStyle w:val="12"/>
              <w:spacing w:before="121"/>
              <w:ind w:left="122" w:right="112"/>
              <w:jc w:val="center"/>
              <w:rPr>
                <w:sz w:val="18"/>
              </w:rPr>
            </w:pPr>
            <w:r>
              <w:rPr>
                <w:sz w:val="18"/>
              </w:rPr>
              <w:t>15</w:t>
            </w:r>
          </w:p>
        </w:tc>
        <w:tc>
          <w:tcPr>
            <w:tcW w:w="727" w:type="dxa"/>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70" w:type="dxa"/>
            <w:vMerge w:val="continue"/>
            <w:tcBorders>
              <w:top w:val="nil"/>
              <w:bottom w:val="nil"/>
            </w:tcBorders>
          </w:tcPr>
          <w:p>
            <w:pPr>
              <w:rPr>
                <w:sz w:val="2"/>
                <w:szCs w:val="2"/>
              </w:rPr>
            </w:pPr>
          </w:p>
        </w:tc>
        <w:tc>
          <w:tcPr>
            <w:tcW w:w="741" w:type="dxa"/>
            <w:vMerge w:val="continue"/>
            <w:tcBorders>
              <w:top w:val="nil"/>
            </w:tcBorders>
          </w:tcPr>
          <w:p>
            <w:pPr>
              <w:rPr>
                <w:sz w:val="2"/>
                <w:szCs w:val="2"/>
              </w:rPr>
            </w:pPr>
          </w:p>
        </w:tc>
        <w:tc>
          <w:tcPr>
            <w:tcW w:w="1371" w:type="dxa"/>
          </w:tcPr>
          <w:p>
            <w:pPr>
              <w:pStyle w:val="12"/>
              <w:jc w:val="center"/>
              <w:rPr>
                <w:rFonts w:ascii="仿宋"/>
                <w:sz w:val="18"/>
              </w:rPr>
            </w:pPr>
          </w:p>
          <w:p>
            <w:pPr>
              <w:pStyle w:val="12"/>
              <w:spacing w:before="120"/>
              <w:ind w:left="123" w:right="116"/>
              <w:jc w:val="center"/>
              <w:rPr>
                <w:sz w:val="18"/>
              </w:rPr>
            </w:pPr>
            <w:r>
              <w:rPr>
                <w:sz w:val="18"/>
              </w:rPr>
              <w:t>可持续影响</w:t>
            </w:r>
          </w:p>
        </w:tc>
        <w:tc>
          <w:tcPr>
            <w:tcW w:w="921" w:type="dxa"/>
          </w:tcPr>
          <w:p>
            <w:pPr>
              <w:pStyle w:val="12"/>
              <w:spacing w:line="242" w:lineRule="auto"/>
              <w:ind w:right="178"/>
              <w:jc w:val="both"/>
              <w:rPr>
                <w:sz w:val="18"/>
              </w:rPr>
            </w:pPr>
            <w:r>
              <w:rPr>
                <w:sz w:val="18"/>
              </w:rPr>
              <w:t>防止疫情扩散</w:t>
            </w:r>
          </w:p>
        </w:tc>
        <w:tc>
          <w:tcPr>
            <w:tcW w:w="741" w:type="dxa"/>
          </w:tcPr>
          <w:p>
            <w:pPr>
              <w:pStyle w:val="12"/>
              <w:rPr>
                <w:rFonts w:ascii="仿宋"/>
                <w:sz w:val="18"/>
              </w:rPr>
            </w:pPr>
          </w:p>
          <w:p>
            <w:pPr>
              <w:pStyle w:val="12"/>
              <w:spacing w:before="120"/>
              <w:ind w:left="168" w:right="162"/>
              <w:jc w:val="center"/>
              <w:rPr>
                <w:sz w:val="18"/>
              </w:rPr>
            </w:pPr>
            <w:r>
              <w:rPr>
                <w:sz w:val="18"/>
              </w:rPr>
              <w:t>正向</w:t>
            </w:r>
          </w:p>
        </w:tc>
        <w:tc>
          <w:tcPr>
            <w:tcW w:w="580" w:type="dxa"/>
          </w:tcPr>
          <w:p>
            <w:pPr>
              <w:pStyle w:val="12"/>
              <w:spacing w:before="1" w:line="242" w:lineRule="auto"/>
              <w:ind w:left="107" w:right="96"/>
              <w:jc w:val="both"/>
              <w:rPr>
                <w:sz w:val="18"/>
              </w:rPr>
            </w:pPr>
            <w:r>
              <w:rPr>
                <w:sz w:val="18"/>
              </w:rPr>
              <w:t>大于等于</w:t>
            </w:r>
          </w:p>
        </w:tc>
        <w:tc>
          <w:tcPr>
            <w:tcW w:w="504" w:type="dxa"/>
          </w:tcPr>
          <w:p>
            <w:pPr>
              <w:pStyle w:val="12"/>
              <w:rPr>
                <w:rFonts w:ascii="仿宋"/>
                <w:sz w:val="18"/>
              </w:rPr>
            </w:pPr>
          </w:p>
          <w:p>
            <w:pPr>
              <w:pStyle w:val="12"/>
              <w:spacing w:before="120"/>
              <w:ind w:left="99" w:right="88"/>
              <w:jc w:val="center"/>
              <w:rPr>
                <w:sz w:val="18"/>
              </w:rPr>
            </w:pPr>
            <w:r>
              <w:rPr>
                <w:sz w:val="18"/>
              </w:rPr>
              <w:t>90</w:t>
            </w:r>
          </w:p>
        </w:tc>
        <w:tc>
          <w:tcPr>
            <w:tcW w:w="576" w:type="dxa"/>
          </w:tcPr>
          <w:p>
            <w:pPr>
              <w:pStyle w:val="12"/>
              <w:rPr>
                <w:rFonts w:ascii="仿宋"/>
                <w:sz w:val="18"/>
              </w:rPr>
            </w:pPr>
          </w:p>
          <w:p>
            <w:pPr>
              <w:pStyle w:val="12"/>
              <w:spacing w:before="120"/>
              <w:ind w:left="86" w:right="77"/>
              <w:jc w:val="center"/>
              <w:rPr>
                <w:sz w:val="18"/>
              </w:rPr>
            </w:pPr>
            <w:r>
              <w:rPr>
                <w:sz w:val="18"/>
              </w:rPr>
              <w:t>90</w:t>
            </w:r>
          </w:p>
        </w:tc>
        <w:tc>
          <w:tcPr>
            <w:tcW w:w="600" w:type="dxa"/>
          </w:tcPr>
          <w:p>
            <w:pPr>
              <w:pStyle w:val="12"/>
              <w:rPr>
                <w:rFonts w:ascii="仿宋"/>
                <w:sz w:val="18"/>
              </w:rPr>
            </w:pPr>
          </w:p>
          <w:p>
            <w:pPr>
              <w:pStyle w:val="12"/>
              <w:spacing w:before="120"/>
              <w:ind w:right="243"/>
              <w:jc w:val="right"/>
              <w:rPr>
                <w:sz w:val="18"/>
              </w:rPr>
            </w:pPr>
            <w:r>
              <w:rPr>
                <w:sz w:val="18"/>
              </w:rPr>
              <w:t>%</w:t>
            </w:r>
          </w:p>
        </w:tc>
        <w:tc>
          <w:tcPr>
            <w:tcW w:w="593" w:type="dxa"/>
          </w:tcPr>
          <w:p>
            <w:pPr>
              <w:pStyle w:val="12"/>
              <w:rPr>
                <w:rFonts w:ascii="仿宋"/>
                <w:sz w:val="18"/>
              </w:rPr>
            </w:pPr>
          </w:p>
          <w:p>
            <w:pPr>
              <w:pStyle w:val="12"/>
              <w:spacing w:before="120"/>
              <w:ind w:left="95" w:right="84"/>
              <w:jc w:val="center"/>
              <w:rPr>
                <w:sz w:val="18"/>
              </w:rPr>
            </w:pPr>
            <w:r>
              <w:rPr>
                <w:sz w:val="18"/>
              </w:rPr>
              <w:t>15</w:t>
            </w:r>
          </w:p>
        </w:tc>
        <w:tc>
          <w:tcPr>
            <w:tcW w:w="666" w:type="dxa"/>
          </w:tcPr>
          <w:p>
            <w:pPr>
              <w:pStyle w:val="12"/>
              <w:rPr>
                <w:rFonts w:ascii="仿宋"/>
                <w:sz w:val="18"/>
              </w:rPr>
            </w:pPr>
          </w:p>
          <w:p>
            <w:pPr>
              <w:pStyle w:val="12"/>
              <w:spacing w:before="120"/>
              <w:ind w:left="122" w:right="112"/>
              <w:jc w:val="center"/>
              <w:rPr>
                <w:sz w:val="18"/>
              </w:rPr>
            </w:pPr>
            <w:r>
              <w:rPr>
                <w:sz w:val="18"/>
              </w:rPr>
              <w:t>15</w:t>
            </w:r>
          </w:p>
        </w:tc>
        <w:tc>
          <w:tcPr>
            <w:tcW w:w="727" w:type="dxa"/>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70" w:type="dxa"/>
            <w:vMerge w:val="continue"/>
            <w:tcBorders>
              <w:top w:val="nil"/>
              <w:bottom w:val="single" w:color="000000" w:sz="4" w:space="0"/>
            </w:tcBorders>
          </w:tcPr>
          <w:p>
            <w:pPr>
              <w:rPr>
                <w:sz w:val="2"/>
                <w:szCs w:val="2"/>
              </w:rPr>
            </w:pPr>
          </w:p>
        </w:tc>
        <w:tc>
          <w:tcPr>
            <w:tcW w:w="741" w:type="dxa"/>
            <w:tcBorders>
              <w:bottom w:val="single" w:color="000000" w:sz="4" w:space="0"/>
            </w:tcBorders>
          </w:tcPr>
          <w:p>
            <w:pPr>
              <w:pStyle w:val="12"/>
              <w:spacing w:before="118" w:line="242" w:lineRule="auto"/>
              <w:ind w:left="190" w:right="178"/>
              <w:jc w:val="both"/>
              <w:rPr>
                <w:sz w:val="18"/>
              </w:rPr>
            </w:pPr>
            <w:r>
              <w:rPr>
                <w:sz w:val="18"/>
              </w:rPr>
              <w:t>满意度指标</w:t>
            </w:r>
          </w:p>
        </w:tc>
        <w:tc>
          <w:tcPr>
            <w:tcW w:w="1371" w:type="dxa"/>
            <w:tcBorders>
              <w:bottom w:val="single" w:color="000000" w:sz="4" w:space="0"/>
            </w:tcBorders>
          </w:tcPr>
          <w:p>
            <w:pPr>
              <w:pStyle w:val="12"/>
              <w:spacing w:line="244" w:lineRule="auto"/>
              <w:ind w:right="133"/>
              <w:jc w:val="both"/>
              <w:rPr>
                <w:sz w:val="18"/>
              </w:rPr>
            </w:pPr>
            <w:r>
              <w:rPr>
                <w:sz w:val="18"/>
              </w:rPr>
              <w:t>服务对象满意度</w:t>
            </w:r>
          </w:p>
        </w:tc>
        <w:tc>
          <w:tcPr>
            <w:tcW w:w="921" w:type="dxa"/>
            <w:tcBorders>
              <w:bottom w:val="single" w:color="000000" w:sz="4" w:space="0"/>
            </w:tcBorders>
          </w:tcPr>
          <w:p>
            <w:pPr>
              <w:pStyle w:val="12"/>
              <w:spacing w:line="244" w:lineRule="auto"/>
              <w:ind w:right="178"/>
              <w:jc w:val="both"/>
              <w:rPr>
                <w:sz w:val="18"/>
              </w:rPr>
            </w:pPr>
            <w:r>
              <w:rPr>
                <w:sz w:val="18"/>
              </w:rPr>
              <w:t>群众满意度</w:t>
            </w:r>
          </w:p>
        </w:tc>
        <w:tc>
          <w:tcPr>
            <w:tcW w:w="741" w:type="dxa"/>
            <w:tcBorders>
              <w:bottom w:val="single" w:color="000000" w:sz="4" w:space="0"/>
            </w:tcBorders>
          </w:tcPr>
          <w:p>
            <w:pPr>
              <w:pStyle w:val="12"/>
              <w:rPr>
                <w:rFonts w:ascii="仿宋"/>
                <w:sz w:val="18"/>
              </w:rPr>
            </w:pPr>
          </w:p>
          <w:p>
            <w:pPr>
              <w:pStyle w:val="12"/>
              <w:spacing w:before="120"/>
              <w:ind w:left="168" w:right="162"/>
              <w:jc w:val="center"/>
              <w:rPr>
                <w:sz w:val="18"/>
              </w:rPr>
            </w:pPr>
            <w:r>
              <w:rPr>
                <w:sz w:val="18"/>
              </w:rPr>
              <w:t>正向</w:t>
            </w:r>
          </w:p>
        </w:tc>
        <w:tc>
          <w:tcPr>
            <w:tcW w:w="580" w:type="dxa"/>
            <w:tcBorders>
              <w:bottom w:val="single" w:color="000000" w:sz="4" w:space="0"/>
            </w:tcBorders>
          </w:tcPr>
          <w:p>
            <w:pPr>
              <w:pStyle w:val="12"/>
              <w:spacing w:line="242" w:lineRule="auto"/>
              <w:ind w:left="107" w:right="96"/>
              <w:jc w:val="both"/>
              <w:rPr>
                <w:sz w:val="18"/>
              </w:rPr>
            </w:pPr>
            <w:r>
              <w:rPr>
                <w:sz w:val="18"/>
              </w:rPr>
              <w:t>大于等于</w:t>
            </w:r>
          </w:p>
        </w:tc>
        <w:tc>
          <w:tcPr>
            <w:tcW w:w="504" w:type="dxa"/>
            <w:tcBorders>
              <w:bottom w:val="single" w:color="000000" w:sz="4" w:space="0"/>
            </w:tcBorders>
          </w:tcPr>
          <w:p>
            <w:pPr>
              <w:pStyle w:val="12"/>
              <w:rPr>
                <w:rFonts w:ascii="仿宋"/>
                <w:sz w:val="18"/>
              </w:rPr>
            </w:pPr>
          </w:p>
          <w:p>
            <w:pPr>
              <w:pStyle w:val="12"/>
              <w:spacing w:before="120"/>
              <w:ind w:left="96" w:right="88"/>
              <w:jc w:val="center"/>
              <w:rPr>
                <w:sz w:val="18"/>
              </w:rPr>
            </w:pPr>
            <w:r>
              <w:rPr>
                <w:sz w:val="18"/>
              </w:rPr>
              <w:t>100</w:t>
            </w:r>
          </w:p>
        </w:tc>
        <w:tc>
          <w:tcPr>
            <w:tcW w:w="576" w:type="dxa"/>
            <w:tcBorders>
              <w:bottom w:val="single" w:color="000000" w:sz="4" w:space="0"/>
            </w:tcBorders>
          </w:tcPr>
          <w:p>
            <w:pPr>
              <w:pStyle w:val="12"/>
              <w:rPr>
                <w:rFonts w:ascii="仿宋"/>
                <w:sz w:val="18"/>
              </w:rPr>
            </w:pPr>
          </w:p>
          <w:p>
            <w:pPr>
              <w:pStyle w:val="12"/>
              <w:spacing w:before="120"/>
              <w:ind w:left="84" w:right="77"/>
              <w:jc w:val="center"/>
              <w:rPr>
                <w:sz w:val="18"/>
              </w:rPr>
            </w:pPr>
            <w:r>
              <w:rPr>
                <w:sz w:val="18"/>
              </w:rPr>
              <w:t>100</w:t>
            </w:r>
          </w:p>
        </w:tc>
        <w:tc>
          <w:tcPr>
            <w:tcW w:w="600" w:type="dxa"/>
            <w:tcBorders>
              <w:bottom w:val="single" w:color="000000" w:sz="4" w:space="0"/>
            </w:tcBorders>
          </w:tcPr>
          <w:p>
            <w:pPr>
              <w:pStyle w:val="12"/>
              <w:rPr>
                <w:rFonts w:ascii="仿宋"/>
                <w:sz w:val="18"/>
              </w:rPr>
            </w:pPr>
          </w:p>
          <w:p>
            <w:pPr>
              <w:pStyle w:val="12"/>
              <w:spacing w:before="120"/>
              <w:ind w:right="243"/>
              <w:jc w:val="right"/>
              <w:rPr>
                <w:sz w:val="18"/>
              </w:rPr>
            </w:pPr>
            <w:r>
              <w:rPr>
                <w:sz w:val="18"/>
              </w:rPr>
              <w:t>%</w:t>
            </w:r>
          </w:p>
        </w:tc>
        <w:tc>
          <w:tcPr>
            <w:tcW w:w="593" w:type="dxa"/>
            <w:tcBorders>
              <w:bottom w:val="single" w:color="000000" w:sz="4" w:space="0"/>
            </w:tcBorders>
          </w:tcPr>
          <w:p>
            <w:pPr>
              <w:pStyle w:val="12"/>
              <w:rPr>
                <w:rFonts w:ascii="仿宋"/>
                <w:sz w:val="18"/>
              </w:rPr>
            </w:pPr>
          </w:p>
          <w:p>
            <w:pPr>
              <w:pStyle w:val="12"/>
              <w:spacing w:before="120"/>
              <w:ind w:left="95" w:right="84"/>
              <w:jc w:val="center"/>
              <w:rPr>
                <w:sz w:val="18"/>
              </w:rPr>
            </w:pPr>
            <w:r>
              <w:rPr>
                <w:sz w:val="18"/>
              </w:rPr>
              <w:t>10</w:t>
            </w:r>
          </w:p>
        </w:tc>
        <w:tc>
          <w:tcPr>
            <w:tcW w:w="666" w:type="dxa"/>
            <w:tcBorders>
              <w:bottom w:val="single" w:color="000000" w:sz="4" w:space="0"/>
            </w:tcBorders>
          </w:tcPr>
          <w:p>
            <w:pPr>
              <w:pStyle w:val="12"/>
              <w:rPr>
                <w:rFonts w:ascii="仿宋"/>
                <w:sz w:val="18"/>
              </w:rPr>
            </w:pPr>
          </w:p>
          <w:p>
            <w:pPr>
              <w:pStyle w:val="12"/>
              <w:spacing w:before="120"/>
              <w:ind w:left="122" w:right="112"/>
              <w:jc w:val="center"/>
              <w:rPr>
                <w:sz w:val="18"/>
              </w:rPr>
            </w:pPr>
            <w:r>
              <w:rPr>
                <w:sz w:val="18"/>
              </w:rPr>
              <w:t>10</w:t>
            </w:r>
          </w:p>
        </w:tc>
        <w:tc>
          <w:tcPr>
            <w:tcW w:w="727" w:type="dxa"/>
            <w:tcBorders>
              <w:bottom w:val="single" w:color="000000" w:sz="4" w:space="0"/>
            </w:tcBorders>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6804" w:type="dxa"/>
            <w:gridSpan w:val="9"/>
            <w:tcBorders>
              <w:top w:val="single" w:color="000000" w:sz="4" w:space="0"/>
              <w:bottom w:val="single" w:color="000000" w:sz="4" w:space="0"/>
              <w:right w:val="single" w:color="000000" w:sz="4" w:space="0"/>
            </w:tcBorders>
          </w:tcPr>
          <w:p>
            <w:pPr>
              <w:pStyle w:val="12"/>
              <w:spacing w:before="120"/>
              <w:ind w:right="243"/>
              <w:jc w:val="center"/>
              <w:rPr>
                <w:rFonts w:hint="eastAsia" w:eastAsia="宋体"/>
                <w:sz w:val="18"/>
                <w:lang w:eastAsia="zh-CN"/>
              </w:rPr>
            </w:pPr>
            <w:r>
              <w:rPr>
                <w:rFonts w:hint="eastAsia"/>
                <w:sz w:val="18"/>
                <w:lang w:eastAsia="zh-CN"/>
              </w:rPr>
              <w:t>总分</w:t>
            </w:r>
          </w:p>
        </w:tc>
        <w:tc>
          <w:tcPr>
            <w:tcW w:w="593" w:type="dxa"/>
            <w:tcBorders>
              <w:top w:val="single" w:color="000000" w:sz="4" w:space="0"/>
              <w:left w:val="single" w:color="000000" w:sz="4" w:space="0"/>
              <w:bottom w:val="single" w:color="000000" w:sz="4" w:space="0"/>
              <w:right w:val="single" w:color="000000" w:sz="4" w:space="0"/>
            </w:tcBorders>
          </w:tcPr>
          <w:p>
            <w:pPr>
              <w:pStyle w:val="12"/>
              <w:spacing w:before="120"/>
              <w:ind w:left="95" w:right="84"/>
              <w:jc w:val="center"/>
              <w:rPr>
                <w:rFonts w:hint="default" w:eastAsia="宋体"/>
                <w:sz w:val="18"/>
                <w:lang w:val="en-US" w:eastAsia="zh-CN"/>
              </w:rPr>
            </w:pPr>
            <w:r>
              <w:rPr>
                <w:rFonts w:hint="eastAsia"/>
                <w:sz w:val="18"/>
                <w:lang w:val="en-US" w:eastAsia="zh-CN"/>
              </w:rPr>
              <w:t>100</w:t>
            </w:r>
          </w:p>
        </w:tc>
        <w:tc>
          <w:tcPr>
            <w:tcW w:w="666" w:type="dxa"/>
            <w:tcBorders>
              <w:top w:val="single" w:color="000000" w:sz="4" w:space="0"/>
              <w:left w:val="single" w:color="000000" w:sz="4" w:space="0"/>
              <w:bottom w:val="single" w:color="000000" w:sz="4" w:space="0"/>
              <w:right w:val="single" w:color="000000" w:sz="4" w:space="0"/>
            </w:tcBorders>
          </w:tcPr>
          <w:p>
            <w:pPr>
              <w:pStyle w:val="12"/>
              <w:spacing w:before="120"/>
              <w:ind w:left="122" w:right="112"/>
              <w:jc w:val="center"/>
              <w:rPr>
                <w:rFonts w:hint="default" w:eastAsia="宋体"/>
                <w:sz w:val="18"/>
                <w:lang w:val="en-US" w:eastAsia="zh-CN"/>
              </w:rPr>
            </w:pPr>
            <w:r>
              <w:rPr>
                <w:rFonts w:hint="eastAsia"/>
                <w:sz w:val="18"/>
                <w:lang w:val="en-US" w:eastAsia="zh-CN"/>
              </w:rPr>
              <w:t>86.73</w:t>
            </w:r>
          </w:p>
        </w:tc>
        <w:tc>
          <w:tcPr>
            <w:tcW w:w="727" w:type="dxa"/>
            <w:tcBorders>
              <w:top w:val="single" w:color="000000" w:sz="4" w:space="0"/>
              <w:left w:val="single" w:color="000000" w:sz="4" w:space="0"/>
              <w:bottom w:val="single" w:color="000000" w:sz="4" w:space="0"/>
            </w:tcBorders>
          </w:tcPr>
          <w:p>
            <w:pPr>
              <w:pStyle w:val="12"/>
              <w:rPr>
                <w:rFonts w:ascii="Times New Roman"/>
                <w:sz w:val="18"/>
              </w:rPr>
            </w:pPr>
          </w:p>
        </w:tc>
      </w:tr>
    </w:tbl>
    <w:p>
      <w:pPr>
        <w:spacing w:after="0"/>
        <w:rPr>
          <w:rFonts w:ascii="Times New Roman"/>
          <w:sz w:val="18"/>
        </w:rPr>
        <w:sectPr>
          <w:pgSz w:w="11920" w:h="16860"/>
          <w:pgMar w:top="1420" w:right="380" w:bottom="280" w:left="1660" w:header="720" w:footer="720" w:gutter="0"/>
          <w:pgBorders>
            <w:top w:val="none" w:sz="0" w:space="0"/>
            <w:left w:val="none" w:sz="0" w:space="0"/>
            <w:bottom w:val="none" w:sz="0" w:space="0"/>
            <w:right w:val="none" w:sz="0" w:space="0"/>
          </w:pgBorders>
          <w:cols w:space="720" w:num="1"/>
        </w:sectPr>
      </w:pPr>
    </w:p>
    <w:p>
      <w:pPr>
        <w:pStyle w:val="5"/>
        <w:spacing w:before="8"/>
        <w:rPr>
          <w:sz w:val="18"/>
        </w:rPr>
      </w:pPr>
      <w:r>
        <w:drawing>
          <wp:anchor distT="0" distB="0" distL="0" distR="0" simplePos="0" relativeHeight="251660288" behindDoc="0" locked="0" layoutInCell="1" allowOverlap="1">
            <wp:simplePos x="0" y="0"/>
            <wp:positionH relativeFrom="page">
              <wp:posOffset>2106930</wp:posOffset>
            </wp:positionH>
            <wp:positionV relativeFrom="paragraph">
              <wp:posOffset>176530</wp:posOffset>
            </wp:positionV>
            <wp:extent cx="304800" cy="304800"/>
            <wp:effectExtent l="0" t="0" r="0" b="0"/>
            <wp:wrapTopAndBottom/>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a:picLocks noChangeAspect="1"/>
                    </pic:cNvPicPr>
                  </pic:nvPicPr>
                  <pic:blipFill>
                    <a:blip r:embed="rId8" cstate="print"/>
                    <a:stretch>
                      <a:fillRect/>
                    </a:stretch>
                  </pic:blipFill>
                  <pic:spPr>
                    <a:xfrm>
                      <a:off x="0" y="0"/>
                      <a:ext cx="304800" cy="304800"/>
                    </a:xfrm>
                    <a:prstGeom prst="rect">
                      <a:avLst/>
                    </a:prstGeom>
                  </pic:spPr>
                </pic:pic>
              </a:graphicData>
            </a:graphic>
          </wp:anchor>
        </w:drawing>
      </w:r>
    </w:p>
    <w:p>
      <w:pPr>
        <w:spacing w:before="58" w:line="184" w:lineRule="auto"/>
        <w:ind w:left="1178" w:right="7255" w:firstLine="0"/>
        <w:jc w:val="left"/>
        <w:rPr>
          <w:rFonts w:hint="eastAsia" w:ascii="微软雅黑" w:eastAsia="微软雅黑"/>
          <w:sz w:val="18"/>
        </w:rPr>
      </w:pPr>
      <w:r>
        <w:rPr>
          <w:rFonts w:hint="eastAsia" w:ascii="微软雅黑" w:eastAsia="微软雅黑"/>
          <w:sz w:val="18"/>
        </w:rPr>
        <w:t>包联（小区）疫情防控经费项目绩效</w:t>
      </w:r>
    </w:p>
    <w:p>
      <w:pPr>
        <w:pStyle w:val="5"/>
        <w:rPr>
          <w:rFonts w:ascii="微软雅黑"/>
          <w:sz w:val="20"/>
        </w:rPr>
      </w:pPr>
    </w:p>
    <w:p>
      <w:pPr>
        <w:pStyle w:val="5"/>
        <w:spacing w:before="17"/>
        <w:rPr>
          <w:rFonts w:ascii="微软雅黑"/>
          <w:sz w:val="16"/>
        </w:rPr>
      </w:pPr>
    </w:p>
    <w:p>
      <w:pPr>
        <w:pStyle w:val="2"/>
        <w:tabs>
          <w:tab w:val="left" w:pos="4435"/>
        </w:tabs>
        <w:spacing w:before="49"/>
        <w:ind w:left="2710"/>
      </w:pPr>
      <w:bookmarkStart w:id="5" w:name="第三部分  名词解释"/>
      <w:bookmarkEnd w:id="5"/>
      <w:r>
        <w:t>第三部分</w:t>
      </w:r>
      <w:r>
        <w:tab/>
      </w:r>
      <w:r>
        <w:t>名词解释</w:t>
      </w:r>
    </w:p>
    <w:p>
      <w:pPr>
        <w:pStyle w:val="5"/>
        <w:spacing w:before="9"/>
        <w:rPr>
          <w:rFonts w:ascii="黑体"/>
          <w:b/>
        </w:rPr>
      </w:pPr>
    </w:p>
    <w:p>
      <w:pPr>
        <w:pStyle w:val="5"/>
        <w:spacing w:line="328" w:lineRule="auto"/>
        <w:ind w:left="140" w:right="1419" w:firstLine="643"/>
        <w:jc w:val="both"/>
      </w:pPr>
      <w:r>
        <w:rPr>
          <w:b/>
          <w:spacing w:val="14"/>
          <w:w w:val="95"/>
        </w:rPr>
        <w:t>一、财政拨款收入：</w:t>
      </w:r>
      <w:r>
        <w:rPr>
          <w:spacing w:val="13"/>
          <w:w w:val="95"/>
        </w:rPr>
        <w:t xml:space="preserve">从同级财政部门取得的各类财政 </w:t>
      </w:r>
      <w:r>
        <w:rPr>
          <w:spacing w:val="11"/>
          <w:w w:val="95"/>
        </w:rPr>
        <w:t xml:space="preserve">拨款，包括一般公共预算财政拨款、政府性基金预算财政 </w:t>
      </w:r>
      <w:r>
        <w:rPr>
          <w:spacing w:val="11"/>
        </w:rPr>
        <w:t>拨款、国有资本经营预算财政拨款。</w:t>
      </w:r>
    </w:p>
    <w:p>
      <w:pPr>
        <w:spacing w:before="276" w:line="326" w:lineRule="auto"/>
        <w:ind w:left="140" w:right="1419" w:firstLine="643"/>
        <w:jc w:val="left"/>
        <w:rPr>
          <w:sz w:val="32"/>
        </w:rPr>
      </w:pPr>
      <w:r>
        <w:rPr>
          <w:b/>
          <w:spacing w:val="14"/>
          <w:w w:val="95"/>
          <w:sz w:val="32"/>
        </w:rPr>
        <w:t>二、上级补助收入：</w:t>
      </w:r>
      <w:r>
        <w:rPr>
          <w:spacing w:val="13"/>
          <w:w w:val="95"/>
          <w:sz w:val="32"/>
        </w:rPr>
        <w:t xml:space="preserve">指事业单位从主管部门和上级单 </w:t>
      </w:r>
      <w:r>
        <w:rPr>
          <w:spacing w:val="13"/>
          <w:sz w:val="32"/>
        </w:rPr>
        <w:t>位取得的非财政补助收入。</w:t>
      </w:r>
    </w:p>
    <w:p>
      <w:pPr>
        <w:pStyle w:val="5"/>
        <w:spacing w:before="284" w:line="328" w:lineRule="auto"/>
        <w:ind w:left="140" w:right="1419" w:firstLine="643"/>
        <w:jc w:val="both"/>
      </w:pPr>
      <w:r>
        <w:rPr>
          <w:b/>
          <w:spacing w:val="14"/>
          <w:w w:val="95"/>
        </w:rPr>
        <w:t>三、财政专户管理教育收费：</w:t>
      </w:r>
      <w:r>
        <w:rPr>
          <w:spacing w:val="11"/>
          <w:w w:val="95"/>
        </w:rPr>
        <w:t xml:space="preserve">指缴入财政专户、实行 专项管理的高中以上学费、住宿费、高校委托培养费、函 </w:t>
      </w:r>
      <w:r>
        <w:rPr>
          <w:spacing w:val="11"/>
        </w:rPr>
        <w:t>大、电大、夜大及短训班培训费等教育收费。</w:t>
      </w:r>
    </w:p>
    <w:p>
      <w:pPr>
        <w:spacing w:before="275" w:line="326" w:lineRule="auto"/>
        <w:ind w:left="140" w:right="1419" w:firstLine="643"/>
        <w:jc w:val="left"/>
        <w:rPr>
          <w:sz w:val="32"/>
        </w:rPr>
      </w:pPr>
      <w:r>
        <w:rPr>
          <w:b/>
          <w:spacing w:val="14"/>
          <w:w w:val="95"/>
          <w:sz w:val="32"/>
        </w:rPr>
        <w:t>四、事业收入：</w:t>
      </w:r>
      <w:r>
        <w:rPr>
          <w:spacing w:val="13"/>
          <w:w w:val="95"/>
          <w:sz w:val="32"/>
        </w:rPr>
        <w:t xml:space="preserve">指事业单位开展专业业务活动及其辅 </w:t>
      </w:r>
      <w:r>
        <w:rPr>
          <w:spacing w:val="13"/>
          <w:sz w:val="32"/>
        </w:rPr>
        <w:t>助活动取得的收入。</w:t>
      </w:r>
    </w:p>
    <w:p>
      <w:pPr>
        <w:pStyle w:val="5"/>
        <w:spacing w:before="284" w:line="326" w:lineRule="auto"/>
        <w:ind w:left="140" w:right="1419" w:firstLine="643"/>
      </w:pPr>
      <w:r>
        <w:rPr>
          <w:b/>
          <w:spacing w:val="14"/>
          <w:w w:val="95"/>
        </w:rPr>
        <w:t>五、经营收入：</w:t>
      </w:r>
      <w:r>
        <w:rPr>
          <w:spacing w:val="13"/>
          <w:w w:val="95"/>
        </w:rPr>
        <w:t xml:space="preserve">指事业单位在专业业务活动及其辅助 </w:t>
      </w:r>
      <w:r>
        <w:rPr>
          <w:spacing w:val="13"/>
        </w:rPr>
        <w:t>活动之外开展非独立核算经营活动取得的收入。</w:t>
      </w:r>
    </w:p>
    <w:p>
      <w:pPr>
        <w:spacing w:before="284" w:line="328" w:lineRule="auto"/>
        <w:ind w:left="140" w:right="1419" w:firstLine="643"/>
        <w:jc w:val="left"/>
        <w:rPr>
          <w:sz w:val="32"/>
        </w:rPr>
      </w:pPr>
      <w:r>
        <w:rPr>
          <w:b/>
          <w:spacing w:val="14"/>
          <w:w w:val="95"/>
          <w:sz w:val="32"/>
        </w:rPr>
        <w:t>六、附属单位上缴收入：</w:t>
      </w:r>
      <w:r>
        <w:rPr>
          <w:spacing w:val="12"/>
          <w:w w:val="95"/>
          <w:sz w:val="32"/>
        </w:rPr>
        <w:t xml:space="preserve">指事业单位附属独立核算单 </w:t>
      </w:r>
      <w:r>
        <w:rPr>
          <w:spacing w:val="12"/>
          <w:sz w:val="32"/>
        </w:rPr>
        <w:t>位按照有关规定上缴的收入。</w:t>
      </w:r>
    </w:p>
    <w:p>
      <w:pPr>
        <w:spacing w:after="0" w:line="328" w:lineRule="auto"/>
        <w:jc w:val="left"/>
        <w:rPr>
          <w:sz w:val="32"/>
        </w:rPr>
        <w:sectPr>
          <w:pgSz w:w="11920" w:h="16860"/>
          <w:pgMar w:top="1520" w:right="380" w:bottom="280" w:left="1660" w:header="720" w:footer="720" w:gutter="0"/>
          <w:pgBorders>
            <w:top w:val="none" w:sz="0" w:space="0"/>
            <w:left w:val="none" w:sz="0" w:space="0"/>
            <w:bottom w:val="none" w:sz="0" w:space="0"/>
            <w:right w:val="none" w:sz="0" w:space="0"/>
          </w:pgBorders>
          <w:cols w:space="720" w:num="1"/>
        </w:sectPr>
      </w:pPr>
    </w:p>
    <w:p>
      <w:pPr>
        <w:pStyle w:val="5"/>
        <w:spacing w:before="39" w:line="326" w:lineRule="auto"/>
        <w:ind w:left="140" w:right="1378" w:firstLine="643"/>
        <w:jc w:val="both"/>
      </w:pPr>
      <w:r>
        <w:rPr>
          <w:b/>
        </w:rPr>
        <w:t>七、其他收入：</w:t>
      </w:r>
      <w:r>
        <w:t>取得的除上述</w:t>
      </w:r>
      <w:r>
        <w:rPr>
          <w:rFonts w:ascii="Times New Roman" w:hAnsi="Times New Roman" w:eastAsia="Times New Roman"/>
        </w:rPr>
        <w:t>“</w:t>
      </w:r>
      <w:r>
        <w:t>财政拨款收入</w:t>
      </w:r>
      <w:r>
        <w:rPr>
          <w:rFonts w:ascii="Times New Roman" w:hAnsi="Times New Roman" w:eastAsia="Times New Roman"/>
        </w:rPr>
        <w:t>”</w:t>
      </w:r>
      <w:r>
        <w:t>、</w:t>
      </w:r>
      <w:r>
        <w:rPr>
          <w:rFonts w:ascii="Times New Roman" w:hAnsi="Times New Roman" w:eastAsia="Times New Roman"/>
        </w:rPr>
        <w:t>“</w:t>
      </w:r>
      <w:r>
        <w:t>上级补助收入</w:t>
      </w:r>
      <w:r>
        <w:rPr>
          <w:rFonts w:ascii="Times New Roman" w:hAnsi="Times New Roman" w:eastAsia="Times New Roman"/>
        </w:rPr>
        <w:t>”</w:t>
      </w:r>
      <w:r>
        <w:t>、</w:t>
      </w:r>
      <w:r>
        <w:rPr>
          <w:rFonts w:ascii="Times New Roman" w:hAnsi="Times New Roman" w:eastAsia="Times New Roman"/>
        </w:rPr>
        <w:t>“</w:t>
      </w:r>
      <w:r>
        <w:t>事业收入</w:t>
      </w:r>
      <w:r>
        <w:rPr>
          <w:rFonts w:ascii="Times New Roman" w:hAnsi="Times New Roman" w:eastAsia="Times New Roman"/>
        </w:rPr>
        <w:t>”</w:t>
      </w:r>
      <w:r>
        <w:t>、</w:t>
      </w:r>
      <w:r>
        <w:rPr>
          <w:rFonts w:ascii="Times New Roman" w:hAnsi="Times New Roman" w:eastAsia="Times New Roman"/>
        </w:rPr>
        <w:t>“</w:t>
      </w:r>
      <w:r>
        <w:t>经营收入</w:t>
      </w:r>
      <w:r>
        <w:rPr>
          <w:rFonts w:ascii="Times New Roman" w:hAnsi="Times New Roman" w:eastAsia="Times New Roman"/>
        </w:rPr>
        <w:t>”</w:t>
      </w:r>
      <w:r>
        <w:t>、</w:t>
      </w:r>
      <w:r>
        <w:rPr>
          <w:rFonts w:ascii="Times New Roman" w:hAnsi="Times New Roman" w:eastAsia="Times New Roman"/>
        </w:rPr>
        <w:t>“</w:t>
      </w:r>
      <w:r>
        <w:t>附属单位上缴收入</w:t>
      </w:r>
      <w:r>
        <w:rPr>
          <w:rFonts w:ascii="Times New Roman" w:hAnsi="Times New Roman" w:eastAsia="Times New Roman"/>
        </w:rPr>
        <w:t xml:space="preserve">” </w:t>
      </w:r>
      <w:r>
        <w:t>等以外的各项收入。</w:t>
      </w:r>
    </w:p>
    <w:p>
      <w:pPr>
        <w:spacing w:before="285" w:line="328" w:lineRule="auto"/>
        <w:ind w:left="140" w:right="1417" w:firstLine="643"/>
        <w:jc w:val="left"/>
        <w:rPr>
          <w:sz w:val="32"/>
        </w:rPr>
      </w:pPr>
      <w:r>
        <w:rPr>
          <w:b/>
          <w:spacing w:val="14"/>
          <w:w w:val="95"/>
          <w:sz w:val="32"/>
        </w:rPr>
        <w:t>八、使用非财政拨款结余：</w:t>
      </w:r>
      <w:r>
        <w:rPr>
          <w:spacing w:val="12"/>
          <w:w w:val="95"/>
          <w:sz w:val="32"/>
        </w:rPr>
        <w:t xml:space="preserve">指事业单位按照预算管理 </w:t>
      </w:r>
      <w:r>
        <w:rPr>
          <w:spacing w:val="12"/>
          <w:sz w:val="32"/>
        </w:rPr>
        <w:t>要求使用非财政拨款结余弥补当年收支差额的数额。</w:t>
      </w:r>
    </w:p>
    <w:p>
      <w:pPr>
        <w:spacing w:before="278" w:line="326" w:lineRule="auto"/>
        <w:ind w:left="140" w:right="1419" w:firstLine="643"/>
        <w:jc w:val="left"/>
        <w:rPr>
          <w:sz w:val="32"/>
        </w:rPr>
      </w:pPr>
      <w:r>
        <w:rPr>
          <w:b/>
          <w:spacing w:val="14"/>
          <w:w w:val="95"/>
          <w:sz w:val="32"/>
        </w:rPr>
        <w:t>九、年初结转和结余：</w:t>
      </w:r>
      <w:r>
        <w:rPr>
          <w:spacing w:val="12"/>
          <w:w w:val="95"/>
          <w:sz w:val="32"/>
        </w:rPr>
        <w:t xml:space="preserve">指单位上年结转本年使用的基 </w:t>
      </w:r>
      <w:r>
        <w:rPr>
          <w:spacing w:val="12"/>
          <w:sz w:val="32"/>
        </w:rPr>
        <w:t>本支出结转、项目支出结转和结余、经营结余。</w:t>
      </w:r>
    </w:p>
    <w:p>
      <w:pPr>
        <w:pStyle w:val="5"/>
        <w:spacing w:before="284" w:line="326" w:lineRule="auto"/>
        <w:ind w:left="140" w:right="1419" w:firstLine="643"/>
      </w:pPr>
      <w:r>
        <w:rPr>
          <w:b/>
          <w:spacing w:val="14"/>
          <w:w w:val="95"/>
        </w:rPr>
        <w:t>十、结余分配：</w:t>
      </w:r>
      <w:r>
        <w:rPr>
          <w:spacing w:val="13"/>
          <w:w w:val="95"/>
        </w:rPr>
        <w:t xml:space="preserve">指事业单位按规定缴纳的所得税以及 </w:t>
      </w:r>
      <w:r>
        <w:rPr>
          <w:spacing w:val="13"/>
        </w:rPr>
        <w:t>从非财政拨款结余中提取各类结余的情况。</w:t>
      </w:r>
    </w:p>
    <w:p>
      <w:pPr>
        <w:spacing w:before="284" w:line="328" w:lineRule="auto"/>
        <w:ind w:left="140" w:right="1419" w:firstLine="643"/>
        <w:jc w:val="left"/>
        <w:rPr>
          <w:sz w:val="32"/>
        </w:rPr>
      </w:pPr>
      <w:r>
        <w:rPr>
          <w:b/>
          <w:spacing w:val="14"/>
          <w:w w:val="95"/>
          <w:sz w:val="32"/>
        </w:rPr>
        <w:t>十一、年末结转和结余资金：</w:t>
      </w:r>
      <w:r>
        <w:rPr>
          <w:spacing w:val="11"/>
          <w:w w:val="95"/>
          <w:sz w:val="32"/>
        </w:rPr>
        <w:t xml:space="preserve">指单位结转下年的基本 </w:t>
      </w:r>
      <w:r>
        <w:rPr>
          <w:spacing w:val="11"/>
          <w:sz w:val="32"/>
        </w:rPr>
        <w:t>支出结转、项目支出结转和结余、经营结余。</w:t>
      </w:r>
    </w:p>
    <w:p>
      <w:pPr>
        <w:pStyle w:val="5"/>
        <w:spacing w:before="279" w:line="326" w:lineRule="auto"/>
        <w:ind w:left="140" w:right="1419" w:firstLine="643"/>
      </w:pPr>
      <w:r>
        <w:rPr>
          <w:b/>
          <w:spacing w:val="14"/>
          <w:w w:val="95"/>
        </w:rPr>
        <w:t>十二、基本支出：</w:t>
      </w:r>
      <w:r>
        <w:rPr>
          <w:spacing w:val="13"/>
          <w:w w:val="95"/>
        </w:rPr>
        <w:t xml:space="preserve">指为保障机构正常运转、完成日常 </w:t>
      </w:r>
      <w:r>
        <w:rPr>
          <w:spacing w:val="13"/>
        </w:rPr>
        <w:t>工作任务所发生的支出，包括人员经费和公用经费。</w:t>
      </w:r>
    </w:p>
    <w:p>
      <w:pPr>
        <w:spacing w:before="283" w:line="326" w:lineRule="auto"/>
        <w:ind w:left="140" w:right="1419" w:firstLine="643"/>
        <w:jc w:val="left"/>
        <w:rPr>
          <w:sz w:val="32"/>
        </w:rPr>
      </w:pPr>
      <w:r>
        <w:rPr>
          <w:b/>
          <w:spacing w:val="14"/>
          <w:w w:val="95"/>
          <w:sz w:val="32"/>
        </w:rPr>
        <w:t>十三、项目支出：</w:t>
      </w:r>
      <w:r>
        <w:rPr>
          <w:spacing w:val="13"/>
          <w:w w:val="95"/>
          <w:sz w:val="32"/>
        </w:rPr>
        <w:t xml:space="preserve">指在为完成特定的工作任务和事业 </w:t>
      </w:r>
      <w:r>
        <w:rPr>
          <w:spacing w:val="13"/>
          <w:sz w:val="32"/>
        </w:rPr>
        <w:t>发展目标所发生的支出。</w:t>
      </w:r>
    </w:p>
    <w:p>
      <w:pPr>
        <w:spacing w:before="284" w:line="328" w:lineRule="auto"/>
        <w:ind w:left="140" w:right="1419" w:firstLine="643"/>
        <w:jc w:val="left"/>
        <w:rPr>
          <w:sz w:val="32"/>
        </w:rPr>
      </w:pPr>
      <w:r>
        <w:rPr>
          <w:b/>
          <w:spacing w:val="14"/>
          <w:w w:val="95"/>
          <w:sz w:val="32"/>
        </w:rPr>
        <w:t>十四、上缴上级支出：</w:t>
      </w:r>
      <w:r>
        <w:rPr>
          <w:spacing w:val="12"/>
          <w:w w:val="95"/>
          <w:sz w:val="32"/>
        </w:rPr>
        <w:t xml:space="preserve">指事业单位按照财政部门和主 </w:t>
      </w:r>
      <w:r>
        <w:rPr>
          <w:spacing w:val="12"/>
          <w:sz w:val="32"/>
        </w:rPr>
        <w:t>管部门的规定上缴上级单位的支出。</w:t>
      </w:r>
    </w:p>
    <w:p>
      <w:pPr>
        <w:pStyle w:val="5"/>
        <w:spacing w:before="279" w:line="326" w:lineRule="auto"/>
        <w:ind w:left="140" w:right="1419" w:firstLine="643"/>
      </w:pPr>
      <w:r>
        <w:rPr>
          <w:b/>
          <w:spacing w:val="14"/>
          <w:w w:val="95"/>
        </w:rPr>
        <w:t>十五、经营支出：</w:t>
      </w:r>
      <w:r>
        <w:rPr>
          <w:spacing w:val="13"/>
          <w:w w:val="95"/>
        </w:rPr>
        <w:t xml:space="preserve">指事业单位在专业业务活动及其辅 </w:t>
      </w:r>
      <w:r>
        <w:rPr>
          <w:spacing w:val="13"/>
        </w:rPr>
        <w:t>助活动之外开展非独立核算经营活动发生的支出。</w:t>
      </w:r>
    </w:p>
    <w:p>
      <w:pPr>
        <w:spacing w:after="0" w:line="326" w:lineRule="auto"/>
        <w:sectPr>
          <w:pgSz w:w="11920" w:h="16860"/>
          <w:pgMar w:top="1520" w:right="380" w:bottom="280" w:left="1660" w:header="720" w:footer="720" w:gutter="0"/>
          <w:pgBorders>
            <w:top w:val="none" w:sz="0" w:space="0"/>
            <w:left w:val="none" w:sz="0" w:space="0"/>
            <w:bottom w:val="none" w:sz="0" w:space="0"/>
            <w:right w:val="none" w:sz="0" w:space="0"/>
          </w:pgBorders>
          <w:cols w:space="720" w:num="1"/>
        </w:sectPr>
      </w:pPr>
    </w:p>
    <w:p>
      <w:pPr>
        <w:spacing w:before="39" w:line="326" w:lineRule="auto"/>
        <w:ind w:left="140" w:right="1419" w:firstLine="643"/>
        <w:jc w:val="left"/>
        <w:rPr>
          <w:sz w:val="32"/>
        </w:rPr>
      </w:pPr>
      <w:r>
        <w:rPr>
          <w:b/>
          <w:spacing w:val="14"/>
          <w:w w:val="95"/>
          <w:sz w:val="32"/>
        </w:rPr>
        <w:t>十六、对附属单位补助支出：</w:t>
      </w:r>
      <w:r>
        <w:rPr>
          <w:spacing w:val="11"/>
          <w:w w:val="95"/>
          <w:sz w:val="32"/>
        </w:rPr>
        <w:t xml:space="preserve">指事业单位用财政拨款 </w:t>
      </w:r>
      <w:r>
        <w:rPr>
          <w:spacing w:val="11"/>
          <w:sz w:val="32"/>
        </w:rPr>
        <w:t>收入之外的收入对附属单位补助发生的支出。</w:t>
      </w:r>
    </w:p>
    <w:p>
      <w:pPr>
        <w:pStyle w:val="5"/>
        <w:spacing w:before="284" w:line="328" w:lineRule="auto"/>
        <w:ind w:left="140" w:right="1419" w:firstLine="643"/>
        <w:jc w:val="both"/>
      </w:pPr>
      <w:r>
        <w:rPr>
          <w:b/>
          <w:spacing w:val="14"/>
          <w:w w:val="95"/>
        </w:rPr>
        <w:t>十七、</w:t>
      </w:r>
      <w:r>
        <w:rPr>
          <w:rFonts w:ascii="Times New Roman" w:hAnsi="Times New Roman" w:eastAsia="Times New Roman"/>
          <w:b/>
          <w:spacing w:val="13"/>
          <w:w w:val="95"/>
        </w:rPr>
        <w:t>“</w:t>
      </w:r>
      <w:r>
        <w:rPr>
          <w:b/>
          <w:spacing w:val="15"/>
          <w:w w:val="95"/>
        </w:rPr>
        <w:t>三公</w:t>
      </w:r>
      <w:r>
        <w:rPr>
          <w:rFonts w:ascii="Times New Roman" w:hAnsi="Times New Roman" w:eastAsia="Times New Roman"/>
          <w:b/>
          <w:spacing w:val="13"/>
          <w:w w:val="95"/>
        </w:rPr>
        <w:t>”</w:t>
      </w:r>
      <w:r>
        <w:rPr>
          <w:b/>
          <w:spacing w:val="14"/>
          <w:w w:val="95"/>
        </w:rPr>
        <w:t>经费：</w:t>
      </w:r>
      <w:r>
        <w:rPr>
          <w:spacing w:val="11"/>
          <w:w w:val="95"/>
        </w:rPr>
        <w:t xml:space="preserve">指单位用财政拨款安排的因公出 </w:t>
      </w:r>
      <w:r>
        <w:rPr>
          <w:spacing w:val="14"/>
          <w:w w:val="95"/>
        </w:rPr>
        <w:t>国（</w:t>
      </w:r>
      <w:r>
        <w:rPr>
          <w:spacing w:val="12"/>
          <w:w w:val="95"/>
        </w:rPr>
        <w:t>境</w:t>
      </w:r>
      <w:r>
        <w:rPr>
          <w:spacing w:val="14"/>
          <w:w w:val="95"/>
        </w:rPr>
        <w:t>）</w:t>
      </w:r>
      <w:r>
        <w:rPr>
          <w:spacing w:val="11"/>
          <w:w w:val="95"/>
        </w:rPr>
        <w:t xml:space="preserve">费、公务用车购置及运行维护费和公务接待费。 </w:t>
      </w:r>
      <w:r>
        <w:rPr>
          <w:spacing w:val="6"/>
          <w:w w:val="95"/>
        </w:rPr>
        <w:t>其中，因公出国</w:t>
      </w:r>
      <w:r>
        <w:rPr>
          <w:spacing w:val="7"/>
          <w:w w:val="95"/>
        </w:rPr>
        <w:t>（境）费反映单位</w:t>
      </w:r>
      <w:r>
        <w:rPr>
          <w:rFonts w:hint="eastAsia" w:ascii="宋体" w:hAnsi="宋体" w:eastAsia="宋体"/>
          <w:spacing w:val="6"/>
          <w:w w:val="95"/>
        </w:rPr>
        <w:t>)</w:t>
      </w:r>
      <w:r>
        <w:rPr>
          <w:spacing w:val="7"/>
          <w:w w:val="95"/>
        </w:rPr>
        <w:t>公务出国（</w:t>
      </w:r>
      <w:r>
        <w:rPr>
          <w:spacing w:val="5"/>
          <w:w w:val="95"/>
        </w:rPr>
        <w:t>境</w:t>
      </w:r>
      <w:r>
        <w:rPr>
          <w:spacing w:val="7"/>
          <w:w w:val="95"/>
        </w:rPr>
        <w:t>）</w:t>
      </w:r>
      <w:r>
        <w:rPr>
          <w:spacing w:val="4"/>
          <w:w w:val="95"/>
        </w:rPr>
        <w:t xml:space="preserve">的国际 </w:t>
      </w:r>
      <w:r>
        <w:rPr>
          <w:spacing w:val="11"/>
          <w:w w:val="95"/>
        </w:rPr>
        <w:t xml:space="preserve">旅费、国外城市间交通费、住宿费、伙食费、培训费、公 杂费等支出；公务用车购置及运行维护费反映单位公务用 </w:t>
      </w:r>
      <w:r>
        <w:rPr>
          <w:spacing w:val="13"/>
          <w:w w:val="95"/>
        </w:rPr>
        <w:t>车购置支出</w:t>
      </w:r>
      <w:r>
        <w:rPr>
          <w:spacing w:val="14"/>
          <w:w w:val="95"/>
        </w:rPr>
        <w:t>（</w:t>
      </w:r>
      <w:r>
        <w:rPr>
          <w:spacing w:val="12"/>
          <w:w w:val="95"/>
        </w:rPr>
        <w:t>含车辆购置税、牌照费</w:t>
      </w:r>
      <w:r>
        <w:rPr>
          <w:spacing w:val="14"/>
          <w:w w:val="95"/>
        </w:rPr>
        <w:t>）</w:t>
      </w:r>
      <w:r>
        <w:rPr>
          <w:spacing w:val="10"/>
          <w:w w:val="95"/>
        </w:rPr>
        <w:t xml:space="preserve">以及按规定保留的 </w:t>
      </w:r>
      <w:r>
        <w:rPr>
          <w:spacing w:val="11"/>
          <w:w w:val="95"/>
        </w:rPr>
        <w:t xml:space="preserve">公务用车燃料费、维修费、过路过桥费、保险费、安全奖 励费用等支出；公务接待费反映单位按规定开支的各类公 </w:t>
      </w:r>
      <w:r>
        <w:rPr>
          <w:spacing w:val="11"/>
        </w:rPr>
        <w:t>务接待（含外宾接待）费用。</w:t>
      </w:r>
    </w:p>
    <w:p>
      <w:pPr>
        <w:pStyle w:val="5"/>
        <w:spacing w:before="265" w:line="328" w:lineRule="auto"/>
        <w:ind w:left="140" w:right="1415" w:firstLine="643"/>
        <w:jc w:val="both"/>
      </w:pPr>
      <w:r>
        <w:rPr>
          <w:b/>
          <w:spacing w:val="14"/>
          <w:w w:val="95"/>
        </w:rPr>
        <w:t>十八、机构运行经费：</w:t>
      </w:r>
      <w:r>
        <w:rPr>
          <w:spacing w:val="12"/>
          <w:w w:val="95"/>
        </w:rPr>
        <w:t xml:space="preserve">指单位使用一般公共预算安排 </w:t>
      </w:r>
      <w:r>
        <w:rPr>
          <w:spacing w:val="11"/>
          <w:w w:val="95"/>
        </w:rPr>
        <w:t xml:space="preserve">的基本支出中的日常公用经费支出，包括办公及印刷费、 邮电费、差旅费、会议费、福利费、日常维修费、专用材 </w:t>
      </w:r>
      <w:r>
        <w:rPr>
          <w:spacing w:val="10"/>
        </w:rPr>
        <w:t>料及一般设备购置费、办公用房水电费、办公用房取暖费、</w:t>
      </w:r>
      <w:r>
        <w:rPr>
          <w:spacing w:val="-1"/>
        </w:rPr>
        <w:t>办公用房物业管理费、公务用车运行维护费及其他费用等。</w:t>
      </w:r>
    </w:p>
    <w:p>
      <w:pPr>
        <w:pStyle w:val="5"/>
      </w:pPr>
    </w:p>
    <w:p>
      <w:pPr>
        <w:pStyle w:val="2"/>
        <w:spacing w:before="251"/>
        <w:rPr>
          <w:rFonts w:ascii="黑体"/>
          <w:b/>
          <w:sz w:val="36"/>
        </w:rPr>
      </w:pPr>
      <w:bookmarkStart w:id="6" w:name="第四部分 决算公开联系方式及信息反馈渠道"/>
      <w:bookmarkEnd w:id="6"/>
      <w:r>
        <w:t>第四部分 决算公开联系方式及信息反馈渠道</w:t>
      </w:r>
    </w:p>
    <w:p>
      <w:pPr>
        <w:pStyle w:val="5"/>
        <w:spacing w:before="6"/>
        <w:rPr>
          <w:rFonts w:ascii="黑体"/>
          <w:b/>
          <w:sz w:val="36"/>
        </w:rPr>
      </w:pPr>
    </w:p>
    <w:p>
      <w:pPr>
        <w:pStyle w:val="5"/>
        <w:ind w:left="780"/>
      </w:pPr>
      <w:r>
        <w:t>本单位决算公开信息反馈和联系方式：</w:t>
      </w:r>
    </w:p>
    <w:p>
      <w:pPr>
        <w:pStyle w:val="5"/>
        <w:ind w:left="780"/>
      </w:pPr>
    </w:p>
    <w:p>
      <w:pPr>
        <w:pStyle w:val="5"/>
        <w:ind w:left="780"/>
      </w:pPr>
    </w:p>
    <w:p>
      <w:pPr>
        <w:pStyle w:val="5"/>
        <w:tabs>
          <w:tab w:val="left" w:pos="4779"/>
        </w:tabs>
        <w:spacing w:before="39"/>
        <w:sectPr>
          <w:pgSz w:w="11920" w:h="16860"/>
          <w:pgMar w:top="1520" w:right="380" w:bottom="280" w:left="1660" w:header="720" w:footer="720" w:gutter="0"/>
          <w:pgBorders>
            <w:top w:val="none" w:sz="0" w:space="0"/>
            <w:left w:val="none" w:sz="0" w:space="0"/>
            <w:bottom w:val="none" w:sz="0" w:space="0"/>
            <w:right w:val="none" w:sz="0" w:space="0"/>
          </w:pgBorders>
          <w:cols w:space="720" w:num="1"/>
        </w:sectPr>
      </w:pPr>
      <w:r>
        <w:t>联系人：</w:t>
      </w:r>
      <w:r>
        <w:rPr>
          <w:rFonts w:hint="eastAsia"/>
          <w:lang w:eastAsia="zh-CN"/>
        </w:rPr>
        <w:t>魏薇</w:t>
      </w:r>
      <w:r>
        <w:tab/>
      </w:r>
      <w:r>
        <w:t>联系电话：</w:t>
      </w:r>
      <w:r>
        <w:rPr>
          <w:rFonts w:hint="eastAsia" w:ascii="宋体" w:eastAsia="宋体"/>
        </w:rPr>
        <w:t>0479-81061</w:t>
      </w:r>
    </w:p>
    <w:p>
      <w:pPr>
        <w:pStyle w:val="2"/>
        <w:ind w:left="0" w:leftChars="0" w:firstLine="0" w:firstLineChars="0"/>
        <w:jc w:val="center"/>
      </w:pPr>
      <w:bookmarkStart w:id="7" w:name="第五部分 2022年度单位决算表"/>
      <w:bookmarkEnd w:id="7"/>
      <w:r>
        <w:t>第五部分 2022 年度单位决算表</w:t>
      </w:r>
    </w:p>
    <w:p>
      <w:pPr>
        <w:pStyle w:val="5"/>
        <w:spacing w:line="398" w:lineRule="auto"/>
        <w:ind w:left="105" w:right="5739"/>
      </w:pPr>
      <w:r>
        <w:rPr>
          <w:spacing w:val="-2"/>
        </w:rPr>
        <w:t>一、收入支出决算总表</w:t>
      </w:r>
      <w:r>
        <w:t>二、收入决算表</w:t>
      </w:r>
    </w:p>
    <w:p>
      <w:pPr>
        <w:pStyle w:val="5"/>
        <w:spacing w:line="407" w:lineRule="exact"/>
        <w:ind w:left="105"/>
      </w:pPr>
      <w:r>
        <w:rPr>
          <w:w w:val="95"/>
        </w:rPr>
        <w:t>三、支出决算表</w:t>
      </w:r>
    </w:p>
    <w:p>
      <w:pPr>
        <w:pStyle w:val="5"/>
        <w:spacing w:before="272" w:line="398" w:lineRule="auto"/>
        <w:ind w:left="105" w:right="4460"/>
      </w:pPr>
      <w:r>
        <w:t>四、财政拨款收入支出决算总表五、项目收入支出决算表</w:t>
      </w:r>
    </w:p>
    <w:p>
      <w:pPr>
        <w:pStyle w:val="5"/>
        <w:spacing w:line="407" w:lineRule="exact"/>
        <w:ind w:left="105"/>
      </w:pPr>
      <w:r>
        <w:t>六、一般公共预算财政拨款支出决算表</w:t>
      </w:r>
    </w:p>
    <w:p>
      <w:pPr>
        <w:pStyle w:val="5"/>
        <w:spacing w:before="271" w:line="398" w:lineRule="auto"/>
        <w:ind w:left="105" w:right="2218"/>
      </w:pPr>
      <w:r>
        <w:rPr>
          <w:spacing w:val="-1"/>
        </w:rPr>
        <w:t>七、一般公共预算财政拨款基本支出决算明细表八、一般公共预算财政拨款项目支出决算明细表</w:t>
      </w:r>
      <w:r>
        <w:t>九、政府性基金预算财政拨款收入支出决算表 十、国有资本经营预算财政拨款支出决算表</w:t>
      </w:r>
    </w:p>
    <w:p>
      <w:pPr>
        <w:pStyle w:val="5"/>
        <w:spacing w:line="407" w:lineRule="exact"/>
        <w:ind w:left="105"/>
      </w:pPr>
      <w:r>
        <w:t>十一、财政拨款</w:t>
      </w:r>
      <w:r>
        <w:rPr>
          <w:rFonts w:ascii="Times New Roman" w:hAnsi="Times New Roman" w:eastAsia="Times New Roman"/>
        </w:rPr>
        <w:t>“</w:t>
      </w:r>
      <w:r>
        <w:t>三公</w:t>
      </w:r>
      <w:r>
        <w:rPr>
          <w:rFonts w:ascii="Times New Roman" w:hAnsi="Times New Roman" w:eastAsia="Times New Roman"/>
        </w:rPr>
        <w:t>”</w:t>
      </w:r>
      <w:r>
        <w:t>经费支出决算表</w:t>
      </w:r>
    </w:p>
    <w:p>
      <w:pPr>
        <w:pStyle w:val="5"/>
        <w:spacing w:before="276" w:line="235" w:lineRule="auto"/>
        <w:ind w:left="105" w:right="529"/>
      </w:pPr>
      <w:r>
        <w:rPr>
          <w:w w:val="95"/>
        </w:rPr>
        <w:t>十二、机构运行经费支出、国有资产占用情况及政府采购支</w:t>
      </w:r>
      <w:r>
        <w:t>出信息表</w:t>
      </w:r>
    </w:p>
    <w:p>
      <w:pPr>
        <w:spacing w:after="0" w:line="235" w:lineRule="auto"/>
        <w:sectPr>
          <w:pgSz w:w="11910" w:h="16840"/>
          <w:pgMar w:top="1500" w:right="1180" w:bottom="280" w:left="1680" w:header="720" w:footer="720" w:gutter="0"/>
          <w:pgBorders>
            <w:top w:val="none" w:sz="0" w:space="0"/>
            <w:left w:val="none" w:sz="0" w:space="0"/>
            <w:bottom w:val="none" w:sz="0" w:space="0"/>
            <w:right w:val="none" w:sz="0" w:space="0"/>
          </w:pgBorders>
          <w:cols w:space="720" w:num="1"/>
        </w:sectPr>
      </w:pPr>
    </w:p>
    <w:p>
      <w:pPr>
        <w:pStyle w:val="5"/>
        <w:ind w:left="949"/>
      </w:pPr>
    </w:p>
    <w:p>
      <w:pPr>
        <w:pStyle w:val="5"/>
        <w:spacing w:before="6"/>
        <w:rPr>
          <w:sz w:val="23"/>
        </w:rPr>
      </w:pPr>
    </w:p>
    <w:p/>
    <w:p>
      <w:pPr>
        <w:pStyle w:val="7"/>
      </w:pPr>
    </w:p>
    <w:p>
      <w:pPr>
        <w:pStyle w:val="7"/>
        <w:ind w:left="0" w:leftChars="0" w:firstLine="0" w:firstLineChars="0"/>
      </w:pPr>
    </w:p>
    <w:sectPr>
      <w:pgSz w:w="11920" w:h="16860"/>
      <w:pgMar w:top="1420" w:right="380" w:bottom="280" w:left="1660" w:header="720" w:footer="72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40"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113" w:hanging="242"/>
      </w:pPr>
      <w:rPr>
        <w:rFonts w:hint="default"/>
        <w:lang w:val="zh-CN" w:eastAsia="zh-CN" w:bidi="zh-CN"/>
      </w:rPr>
    </w:lvl>
    <w:lvl w:ilvl="2" w:tentative="0">
      <w:start w:val="0"/>
      <w:numFmt w:val="bullet"/>
      <w:lvlText w:val="•"/>
      <w:lvlJc w:val="left"/>
      <w:pPr>
        <w:ind w:left="2087" w:hanging="242"/>
      </w:pPr>
      <w:rPr>
        <w:rFonts w:hint="default"/>
        <w:lang w:val="zh-CN" w:eastAsia="zh-CN" w:bidi="zh-CN"/>
      </w:rPr>
    </w:lvl>
    <w:lvl w:ilvl="3" w:tentative="0">
      <w:start w:val="0"/>
      <w:numFmt w:val="bullet"/>
      <w:lvlText w:val="•"/>
      <w:lvlJc w:val="left"/>
      <w:pPr>
        <w:ind w:left="3060" w:hanging="242"/>
      </w:pPr>
      <w:rPr>
        <w:rFonts w:hint="default"/>
        <w:lang w:val="zh-CN" w:eastAsia="zh-CN" w:bidi="zh-CN"/>
      </w:rPr>
    </w:lvl>
    <w:lvl w:ilvl="4" w:tentative="0">
      <w:start w:val="0"/>
      <w:numFmt w:val="bullet"/>
      <w:lvlText w:val="•"/>
      <w:lvlJc w:val="left"/>
      <w:pPr>
        <w:ind w:left="4034" w:hanging="242"/>
      </w:pPr>
      <w:rPr>
        <w:rFonts w:hint="default"/>
        <w:lang w:val="zh-CN" w:eastAsia="zh-CN" w:bidi="zh-CN"/>
      </w:rPr>
    </w:lvl>
    <w:lvl w:ilvl="5" w:tentative="0">
      <w:start w:val="0"/>
      <w:numFmt w:val="bullet"/>
      <w:lvlText w:val="•"/>
      <w:lvlJc w:val="left"/>
      <w:pPr>
        <w:ind w:left="5007" w:hanging="242"/>
      </w:pPr>
      <w:rPr>
        <w:rFonts w:hint="default"/>
        <w:lang w:val="zh-CN" w:eastAsia="zh-CN" w:bidi="zh-CN"/>
      </w:rPr>
    </w:lvl>
    <w:lvl w:ilvl="6" w:tentative="0">
      <w:start w:val="0"/>
      <w:numFmt w:val="bullet"/>
      <w:lvlText w:val="•"/>
      <w:lvlJc w:val="left"/>
      <w:pPr>
        <w:ind w:left="5981" w:hanging="242"/>
      </w:pPr>
      <w:rPr>
        <w:rFonts w:hint="default"/>
        <w:lang w:val="zh-CN" w:eastAsia="zh-CN" w:bidi="zh-CN"/>
      </w:rPr>
    </w:lvl>
    <w:lvl w:ilvl="7" w:tentative="0">
      <w:start w:val="0"/>
      <w:numFmt w:val="bullet"/>
      <w:lvlText w:val="•"/>
      <w:lvlJc w:val="left"/>
      <w:pPr>
        <w:ind w:left="6954" w:hanging="242"/>
      </w:pPr>
      <w:rPr>
        <w:rFonts w:hint="default"/>
        <w:lang w:val="zh-CN" w:eastAsia="zh-CN" w:bidi="zh-CN"/>
      </w:rPr>
    </w:lvl>
    <w:lvl w:ilvl="8" w:tentative="0">
      <w:start w:val="0"/>
      <w:numFmt w:val="bullet"/>
      <w:lvlText w:val="•"/>
      <w:lvlJc w:val="left"/>
      <w:pPr>
        <w:ind w:left="7928" w:hanging="242"/>
      </w:pPr>
      <w:rPr>
        <w:rFonts w:hint="default"/>
        <w:lang w:val="zh-CN" w:eastAsia="zh-CN" w:bidi="zh-CN"/>
      </w:rPr>
    </w:lvl>
  </w:abstractNum>
  <w:abstractNum w:abstractNumId="1">
    <w:nsid w:val="B5E306ED"/>
    <w:multiLevelType w:val="multilevel"/>
    <w:tmpl w:val="B5E306ED"/>
    <w:lvl w:ilvl="0" w:tentative="0">
      <w:start w:val="1"/>
      <w:numFmt w:val="decimal"/>
      <w:lvlText w:val="%1."/>
      <w:lvlJc w:val="left"/>
      <w:pPr>
        <w:ind w:left="140" w:hanging="480"/>
        <w:jc w:val="left"/>
      </w:pPr>
      <w:rPr>
        <w:rFonts w:hint="default"/>
        <w:spacing w:val="-2"/>
        <w:w w:val="99"/>
        <w:lang w:val="zh-CN" w:eastAsia="zh-CN" w:bidi="zh-CN"/>
      </w:rPr>
    </w:lvl>
    <w:lvl w:ilvl="1" w:tentative="0">
      <w:start w:val="0"/>
      <w:numFmt w:val="bullet"/>
      <w:lvlText w:val="•"/>
      <w:lvlJc w:val="left"/>
      <w:pPr>
        <w:ind w:left="1113" w:hanging="480"/>
      </w:pPr>
      <w:rPr>
        <w:rFonts w:hint="default"/>
        <w:lang w:val="zh-CN" w:eastAsia="zh-CN" w:bidi="zh-CN"/>
      </w:rPr>
    </w:lvl>
    <w:lvl w:ilvl="2" w:tentative="0">
      <w:start w:val="0"/>
      <w:numFmt w:val="bullet"/>
      <w:lvlText w:val="•"/>
      <w:lvlJc w:val="left"/>
      <w:pPr>
        <w:ind w:left="2087" w:hanging="480"/>
      </w:pPr>
      <w:rPr>
        <w:rFonts w:hint="default"/>
        <w:lang w:val="zh-CN" w:eastAsia="zh-CN" w:bidi="zh-CN"/>
      </w:rPr>
    </w:lvl>
    <w:lvl w:ilvl="3" w:tentative="0">
      <w:start w:val="0"/>
      <w:numFmt w:val="bullet"/>
      <w:lvlText w:val="•"/>
      <w:lvlJc w:val="left"/>
      <w:pPr>
        <w:ind w:left="3060" w:hanging="480"/>
      </w:pPr>
      <w:rPr>
        <w:rFonts w:hint="default"/>
        <w:lang w:val="zh-CN" w:eastAsia="zh-CN" w:bidi="zh-CN"/>
      </w:rPr>
    </w:lvl>
    <w:lvl w:ilvl="4" w:tentative="0">
      <w:start w:val="0"/>
      <w:numFmt w:val="bullet"/>
      <w:lvlText w:val="•"/>
      <w:lvlJc w:val="left"/>
      <w:pPr>
        <w:ind w:left="4034" w:hanging="480"/>
      </w:pPr>
      <w:rPr>
        <w:rFonts w:hint="default"/>
        <w:lang w:val="zh-CN" w:eastAsia="zh-CN" w:bidi="zh-CN"/>
      </w:rPr>
    </w:lvl>
    <w:lvl w:ilvl="5" w:tentative="0">
      <w:start w:val="0"/>
      <w:numFmt w:val="bullet"/>
      <w:lvlText w:val="•"/>
      <w:lvlJc w:val="left"/>
      <w:pPr>
        <w:ind w:left="5007" w:hanging="480"/>
      </w:pPr>
      <w:rPr>
        <w:rFonts w:hint="default"/>
        <w:lang w:val="zh-CN" w:eastAsia="zh-CN" w:bidi="zh-CN"/>
      </w:rPr>
    </w:lvl>
    <w:lvl w:ilvl="6" w:tentative="0">
      <w:start w:val="0"/>
      <w:numFmt w:val="bullet"/>
      <w:lvlText w:val="•"/>
      <w:lvlJc w:val="left"/>
      <w:pPr>
        <w:ind w:left="5981" w:hanging="480"/>
      </w:pPr>
      <w:rPr>
        <w:rFonts w:hint="default"/>
        <w:lang w:val="zh-CN" w:eastAsia="zh-CN" w:bidi="zh-CN"/>
      </w:rPr>
    </w:lvl>
    <w:lvl w:ilvl="7" w:tentative="0">
      <w:start w:val="0"/>
      <w:numFmt w:val="bullet"/>
      <w:lvlText w:val="•"/>
      <w:lvlJc w:val="left"/>
      <w:pPr>
        <w:ind w:left="6954" w:hanging="480"/>
      </w:pPr>
      <w:rPr>
        <w:rFonts w:hint="default"/>
        <w:lang w:val="zh-CN" w:eastAsia="zh-CN" w:bidi="zh-CN"/>
      </w:rPr>
    </w:lvl>
    <w:lvl w:ilvl="8" w:tentative="0">
      <w:start w:val="0"/>
      <w:numFmt w:val="bullet"/>
      <w:lvlText w:val="•"/>
      <w:lvlJc w:val="left"/>
      <w:pPr>
        <w:ind w:left="7928" w:hanging="480"/>
      </w:pPr>
      <w:rPr>
        <w:rFonts w:hint="default"/>
        <w:lang w:val="zh-CN" w:eastAsia="zh-CN" w:bidi="zh-CN"/>
      </w:rPr>
    </w:lvl>
  </w:abstractNum>
  <w:abstractNum w:abstractNumId="2">
    <w:nsid w:val="BF205925"/>
    <w:multiLevelType w:val="multilevel"/>
    <w:tmpl w:val="BF205925"/>
    <w:lvl w:ilvl="0" w:tentative="0">
      <w:start w:val="239"/>
      <w:numFmt w:val="decimal"/>
      <w:lvlText w:val="%1"/>
      <w:lvlJc w:val="left"/>
      <w:pPr>
        <w:ind w:left="1083" w:hanging="944"/>
        <w:jc w:val="left"/>
      </w:pPr>
      <w:rPr>
        <w:rFonts w:hint="default"/>
        <w:lang w:val="zh-CN" w:eastAsia="zh-CN" w:bidi="zh-CN"/>
      </w:rPr>
    </w:lvl>
    <w:lvl w:ilvl="1" w:tentative="0">
      <w:start w:val="59"/>
      <w:numFmt w:val="decimal"/>
      <w:lvlText w:val="%1.%2"/>
      <w:lvlJc w:val="left"/>
      <w:pPr>
        <w:ind w:left="1083" w:hanging="944"/>
        <w:jc w:val="left"/>
      </w:pPr>
      <w:rPr>
        <w:rFonts w:hint="default"/>
        <w:spacing w:val="-2"/>
        <w:w w:val="99"/>
        <w:u w:val="single" w:color="000000"/>
        <w:lang w:val="zh-CN" w:eastAsia="zh-CN" w:bidi="zh-CN"/>
      </w:rPr>
    </w:lvl>
    <w:lvl w:ilvl="2" w:tentative="0">
      <w:start w:val="1"/>
      <w:numFmt w:val="decimal"/>
      <w:lvlText w:val="%3."/>
      <w:lvlJc w:val="left"/>
      <w:pPr>
        <w:ind w:left="1245" w:hanging="465"/>
        <w:jc w:val="left"/>
      </w:pPr>
      <w:rPr>
        <w:rFonts w:hint="default"/>
        <w:spacing w:val="-2"/>
        <w:w w:val="100"/>
        <w:lang w:val="zh-CN" w:eastAsia="zh-CN" w:bidi="zh-CN"/>
      </w:rPr>
    </w:lvl>
    <w:lvl w:ilvl="3" w:tentative="0">
      <w:start w:val="0"/>
      <w:numFmt w:val="bullet"/>
      <w:lvlText w:val="•"/>
      <w:lvlJc w:val="left"/>
      <w:pPr>
        <w:ind w:left="3158" w:hanging="465"/>
      </w:pPr>
      <w:rPr>
        <w:rFonts w:hint="default"/>
        <w:lang w:val="zh-CN" w:eastAsia="zh-CN" w:bidi="zh-CN"/>
      </w:rPr>
    </w:lvl>
    <w:lvl w:ilvl="4" w:tentative="0">
      <w:start w:val="0"/>
      <w:numFmt w:val="bullet"/>
      <w:lvlText w:val="•"/>
      <w:lvlJc w:val="left"/>
      <w:pPr>
        <w:ind w:left="4118" w:hanging="465"/>
      </w:pPr>
      <w:rPr>
        <w:rFonts w:hint="default"/>
        <w:lang w:val="zh-CN" w:eastAsia="zh-CN" w:bidi="zh-CN"/>
      </w:rPr>
    </w:lvl>
    <w:lvl w:ilvl="5" w:tentative="0">
      <w:start w:val="0"/>
      <w:numFmt w:val="bullet"/>
      <w:lvlText w:val="•"/>
      <w:lvlJc w:val="left"/>
      <w:pPr>
        <w:ind w:left="5077" w:hanging="465"/>
      </w:pPr>
      <w:rPr>
        <w:rFonts w:hint="default"/>
        <w:lang w:val="zh-CN" w:eastAsia="zh-CN" w:bidi="zh-CN"/>
      </w:rPr>
    </w:lvl>
    <w:lvl w:ilvl="6" w:tentative="0">
      <w:start w:val="0"/>
      <w:numFmt w:val="bullet"/>
      <w:lvlText w:val="•"/>
      <w:lvlJc w:val="left"/>
      <w:pPr>
        <w:ind w:left="6037" w:hanging="465"/>
      </w:pPr>
      <w:rPr>
        <w:rFonts w:hint="default"/>
        <w:lang w:val="zh-CN" w:eastAsia="zh-CN" w:bidi="zh-CN"/>
      </w:rPr>
    </w:lvl>
    <w:lvl w:ilvl="7" w:tentative="0">
      <w:start w:val="0"/>
      <w:numFmt w:val="bullet"/>
      <w:lvlText w:val="•"/>
      <w:lvlJc w:val="left"/>
      <w:pPr>
        <w:ind w:left="6996" w:hanging="465"/>
      </w:pPr>
      <w:rPr>
        <w:rFonts w:hint="default"/>
        <w:lang w:val="zh-CN" w:eastAsia="zh-CN" w:bidi="zh-CN"/>
      </w:rPr>
    </w:lvl>
    <w:lvl w:ilvl="8" w:tentative="0">
      <w:start w:val="0"/>
      <w:numFmt w:val="bullet"/>
      <w:lvlText w:val="•"/>
      <w:lvlJc w:val="left"/>
      <w:pPr>
        <w:ind w:left="7956" w:hanging="465"/>
      </w:pPr>
      <w:rPr>
        <w:rFonts w:hint="default"/>
        <w:lang w:val="zh-CN" w:eastAsia="zh-CN" w:bidi="zh-CN"/>
      </w:rPr>
    </w:lvl>
  </w:abstractNum>
  <w:abstractNum w:abstractNumId="3">
    <w:nsid w:val="CF092B84"/>
    <w:multiLevelType w:val="multilevel"/>
    <w:tmpl w:val="CF092B84"/>
    <w:lvl w:ilvl="0" w:tentative="0">
      <w:start w:val="5"/>
      <w:numFmt w:val="decimal"/>
      <w:lvlText w:val="%1"/>
      <w:lvlJc w:val="left"/>
      <w:pPr>
        <w:ind w:left="699" w:hanging="560"/>
        <w:jc w:val="left"/>
      </w:pPr>
      <w:rPr>
        <w:rFonts w:hint="default"/>
        <w:lang w:val="zh-CN" w:eastAsia="zh-CN" w:bidi="zh-CN"/>
      </w:rPr>
    </w:lvl>
    <w:lvl w:ilvl="1" w:tentative="0">
      <w:start w:val="7"/>
      <w:numFmt w:val="decimal"/>
      <w:lvlText w:val="%1.%2"/>
      <w:lvlJc w:val="left"/>
      <w:pPr>
        <w:ind w:left="699" w:hanging="560"/>
        <w:jc w:val="left"/>
      </w:pPr>
      <w:rPr>
        <w:rFonts w:hint="default" w:ascii="仿宋" w:hAnsi="仿宋" w:eastAsia="仿宋" w:cs="仿宋"/>
        <w:spacing w:val="-2"/>
        <w:w w:val="99"/>
        <w:sz w:val="32"/>
        <w:szCs w:val="32"/>
        <w:lang w:val="zh-CN" w:eastAsia="zh-CN" w:bidi="zh-CN"/>
      </w:rPr>
    </w:lvl>
    <w:lvl w:ilvl="2" w:tentative="0">
      <w:start w:val="1"/>
      <w:numFmt w:val="decimal"/>
      <w:lvlText w:val="%3."/>
      <w:lvlJc w:val="left"/>
      <w:pPr>
        <w:ind w:left="1022" w:hanging="242"/>
        <w:jc w:val="left"/>
      </w:pPr>
      <w:rPr>
        <w:rFonts w:hint="default" w:ascii="Times New Roman" w:hAnsi="Times New Roman" w:eastAsia="Times New Roman" w:cs="Times New Roman"/>
        <w:spacing w:val="-1"/>
        <w:w w:val="99"/>
        <w:sz w:val="30"/>
        <w:szCs w:val="30"/>
        <w:lang w:val="zh-CN" w:eastAsia="zh-CN" w:bidi="zh-CN"/>
      </w:rPr>
    </w:lvl>
    <w:lvl w:ilvl="3" w:tentative="0">
      <w:start w:val="0"/>
      <w:numFmt w:val="bullet"/>
      <w:lvlText w:val="•"/>
      <w:lvlJc w:val="left"/>
      <w:pPr>
        <w:ind w:left="2987" w:hanging="242"/>
      </w:pPr>
      <w:rPr>
        <w:rFonts w:hint="default"/>
        <w:lang w:val="zh-CN" w:eastAsia="zh-CN" w:bidi="zh-CN"/>
      </w:rPr>
    </w:lvl>
    <w:lvl w:ilvl="4" w:tentative="0">
      <w:start w:val="0"/>
      <w:numFmt w:val="bullet"/>
      <w:lvlText w:val="•"/>
      <w:lvlJc w:val="left"/>
      <w:pPr>
        <w:ind w:left="3971" w:hanging="242"/>
      </w:pPr>
      <w:rPr>
        <w:rFonts w:hint="default"/>
        <w:lang w:val="zh-CN" w:eastAsia="zh-CN" w:bidi="zh-CN"/>
      </w:rPr>
    </w:lvl>
    <w:lvl w:ilvl="5" w:tentative="0">
      <w:start w:val="0"/>
      <w:numFmt w:val="bullet"/>
      <w:lvlText w:val="•"/>
      <w:lvlJc w:val="left"/>
      <w:pPr>
        <w:ind w:left="4955" w:hanging="242"/>
      </w:pPr>
      <w:rPr>
        <w:rFonts w:hint="default"/>
        <w:lang w:val="zh-CN" w:eastAsia="zh-CN" w:bidi="zh-CN"/>
      </w:rPr>
    </w:lvl>
    <w:lvl w:ilvl="6" w:tentative="0">
      <w:start w:val="0"/>
      <w:numFmt w:val="bullet"/>
      <w:lvlText w:val="•"/>
      <w:lvlJc w:val="left"/>
      <w:pPr>
        <w:ind w:left="5939" w:hanging="242"/>
      </w:pPr>
      <w:rPr>
        <w:rFonts w:hint="default"/>
        <w:lang w:val="zh-CN" w:eastAsia="zh-CN" w:bidi="zh-CN"/>
      </w:rPr>
    </w:lvl>
    <w:lvl w:ilvl="7" w:tentative="0">
      <w:start w:val="0"/>
      <w:numFmt w:val="bullet"/>
      <w:lvlText w:val="•"/>
      <w:lvlJc w:val="left"/>
      <w:pPr>
        <w:ind w:left="6923" w:hanging="242"/>
      </w:pPr>
      <w:rPr>
        <w:rFonts w:hint="default"/>
        <w:lang w:val="zh-CN" w:eastAsia="zh-CN" w:bidi="zh-CN"/>
      </w:rPr>
    </w:lvl>
    <w:lvl w:ilvl="8" w:tentative="0">
      <w:start w:val="0"/>
      <w:numFmt w:val="bullet"/>
      <w:lvlText w:val="•"/>
      <w:lvlJc w:val="left"/>
      <w:pPr>
        <w:ind w:left="7907" w:hanging="242"/>
      </w:pPr>
      <w:rPr>
        <w:rFonts w:hint="default"/>
        <w:lang w:val="zh-CN" w:eastAsia="zh-CN" w:bidi="zh-CN"/>
      </w:rPr>
    </w:lvl>
  </w:abstractNum>
  <w:abstractNum w:abstractNumId="4">
    <w:nsid w:val="0053208E"/>
    <w:multiLevelType w:val="multilevel"/>
    <w:tmpl w:val="0053208E"/>
    <w:lvl w:ilvl="0" w:tentative="0">
      <w:start w:val="1"/>
      <w:numFmt w:val="decimal"/>
      <w:lvlText w:val="%1."/>
      <w:lvlJc w:val="left"/>
      <w:pPr>
        <w:ind w:left="141" w:hanging="368"/>
        <w:jc w:val="left"/>
      </w:pPr>
      <w:rPr>
        <w:rFonts w:hint="default" w:ascii="仿宋" w:hAnsi="仿宋" w:eastAsia="仿宋" w:cs="仿宋"/>
        <w:spacing w:val="-118"/>
        <w:w w:val="100"/>
        <w:sz w:val="31"/>
        <w:szCs w:val="31"/>
        <w:lang w:val="zh-CN" w:eastAsia="zh-CN" w:bidi="zh-CN"/>
      </w:rPr>
    </w:lvl>
    <w:lvl w:ilvl="1" w:tentative="0">
      <w:start w:val="0"/>
      <w:numFmt w:val="bullet"/>
      <w:lvlText w:val="•"/>
      <w:lvlJc w:val="left"/>
      <w:pPr>
        <w:ind w:left="1030" w:hanging="368"/>
      </w:pPr>
      <w:rPr>
        <w:rFonts w:hint="default"/>
        <w:lang w:val="zh-CN" w:eastAsia="zh-CN" w:bidi="zh-CN"/>
      </w:rPr>
    </w:lvl>
    <w:lvl w:ilvl="2" w:tentative="0">
      <w:start w:val="0"/>
      <w:numFmt w:val="bullet"/>
      <w:lvlText w:val="•"/>
      <w:lvlJc w:val="left"/>
      <w:pPr>
        <w:ind w:left="1921" w:hanging="368"/>
      </w:pPr>
      <w:rPr>
        <w:rFonts w:hint="default"/>
        <w:lang w:val="zh-CN" w:eastAsia="zh-CN" w:bidi="zh-CN"/>
      </w:rPr>
    </w:lvl>
    <w:lvl w:ilvl="3" w:tentative="0">
      <w:start w:val="0"/>
      <w:numFmt w:val="bullet"/>
      <w:lvlText w:val="•"/>
      <w:lvlJc w:val="left"/>
      <w:pPr>
        <w:ind w:left="2811" w:hanging="368"/>
      </w:pPr>
      <w:rPr>
        <w:rFonts w:hint="default"/>
        <w:lang w:val="zh-CN" w:eastAsia="zh-CN" w:bidi="zh-CN"/>
      </w:rPr>
    </w:lvl>
    <w:lvl w:ilvl="4" w:tentative="0">
      <w:start w:val="0"/>
      <w:numFmt w:val="bullet"/>
      <w:lvlText w:val="•"/>
      <w:lvlJc w:val="left"/>
      <w:pPr>
        <w:ind w:left="3702" w:hanging="368"/>
      </w:pPr>
      <w:rPr>
        <w:rFonts w:hint="default"/>
        <w:lang w:val="zh-CN" w:eastAsia="zh-CN" w:bidi="zh-CN"/>
      </w:rPr>
    </w:lvl>
    <w:lvl w:ilvl="5" w:tentative="0">
      <w:start w:val="0"/>
      <w:numFmt w:val="bullet"/>
      <w:lvlText w:val="•"/>
      <w:lvlJc w:val="left"/>
      <w:pPr>
        <w:ind w:left="4593" w:hanging="368"/>
      </w:pPr>
      <w:rPr>
        <w:rFonts w:hint="default"/>
        <w:lang w:val="zh-CN" w:eastAsia="zh-CN" w:bidi="zh-CN"/>
      </w:rPr>
    </w:lvl>
    <w:lvl w:ilvl="6" w:tentative="0">
      <w:start w:val="0"/>
      <w:numFmt w:val="bullet"/>
      <w:lvlText w:val="•"/>
      <w:lvlJc w:val="left"/>
      <w:pPr>
        <w:ind w:left="5483" w:hanging="368"/>
      </w:pPr>
      <w:rPr>
        <w:rFonts w:hint="default"/>
        <w:lang w:val="zh-CN" w:eastAsia="zh-CN" w:bidi="zh-CN"/>
      </w:rPr>
    </w:lvl>
    <w:lvl w:ilvl="7" w:tentative="0">
      <w:start w:val="0"/>
      <w:numFmt w:val="bullet"/>
      <w:lvlText w:val="•"/>
      <w:lvlJc w:val="left"/>
      <w:pPr>
        <w:ind w:left="6374" w:hanging="368"/>
      </w:pPr>
      <w:rPr>
        <w:rFonts w:hint="default"/>
        <w:lang w:val="zh-CN" w:eastAsia="zh-CN" w:bidi="zh-CN"/>
      </w:rPr>
    </w:lvl>
    <w:lvl w:ilvl="8" w:tentative="0">
      <w:start w:val="0"/>
      <w:numFmt w:val="bullet"/>
      <w:lvlText w:val="•"/>
      <w:lvlJc w:val="left"/>
      <w:pPr>
        <w:ind w:left="7264" w:hanging="368"/>
      </w:pPr>
      <w:rPr>
        <w:rFonts w:hint="default"/>
        <w:lang w:val="zh-CN" w:eastAsia="zh-CN" w:bidi="zh-CN"/>
      </w:rPr>
    </w:lvl>
  </w:abstractNum>
  <w:abstractNum w:abstractNumId="5">
    <w:nsid w:val="0248C179"/>
    <w:multiLevelType w:val="multilevel"/>
    <w:tmpl w:val="0248C179"/>
    <w:lvl w:ilvl="0" w:tentative="0">
      <w:start w:val="1"/>
      <w:numFmt w:val="decimal"/>
      <w:lvlText w:val="（%1）"/>
      <w:lvlJc w:val="left"/>
      <w:pPr>
        <w:ind w:left="1592" w:hanging="812"/>
        <w:jc w:val="left"/>
      </w:pPr>
      <w:rPr>
        <w:rFonts w:hint="default" w:ascii="仿宋" w:hAnsi="仿宋" w:eastAsia="仿宋" w:cs="仿宋"/>
        <w:spacing w:val="3"/>
        <w:w w:val="99"/>
        <w:sz w:val="30"/>
        <w:szCs w:val="30"/>
        <w:lang w:val="zh-CN" w:eastAsia="zh-CN" w:bidi="zh-CN"/>
      </w:rPr>
    </w:lvl>
    <w:lvl w:ilvl="1" w:tentative="0">
      <w:start w:val="0"/>
      <w:numFmt w:val="bullet"/>
      <w:lvlText w:val="•"/>
      <w:lvlJc w:val="left"/>
      <w:pPr>
        <w:ind w:left="2427" w:hanging="812"/>
      </w:pPr>
      <w:rPr>
        <w:rFonts w:hint="default"/>
        <w:lang w:val="zh-CN" w:eastAsia="zh-CN" w:bidi="zh-CN"/>
      </w:rPr>
    </w:lvl>
    <w:lvl w:ilvl="2" w:tentative="0">
      <w:start w:val="0"/>
      <w:numFmt w:val="bullet"/>
      <w:lvlText w:val="•"/>
      <w:lvlJc w:val="left"/>
      <w:pPr>
        <w:ind w:left="3255" w:hanging="812"/>
      </w:pPr>
      <w:rPr>
        <w:rFonts w:hint="default"/>
        <w:lang w:val="zh-CN" w:eastAsia="zh-CN" w:bidi="zh-CN"/>
      </w:rPr>
    </w:lvl>
    <w:lvl w:ilvl="3" w:tentative="0">
      <w:start w:val="0"/>
      <w:numFmt w:val="bullet"/>
      <w:lvlText w:val="•"/>
      <w:lvlJc w:val="left"/>
      <w:pPr>
        <w:ind w:left="4082" w:hanging="812"/>
      </w:pPr>
      <w:rPr>
        <w:rFonts w:hint="default"/>
        <w:lang w:val="zh-CN" w:eastAsia="zh-CN" w:bidi="zh-CN"/>
      </w:rPr>
    </w:lvl>
    <w:lvl w:ilvl="4" w:tentative="0">
      <w:start w:val="0"/>
      <w:numFmt w:val="bullet"/>
      <w:lvlText w:val="•"/>
      <w:lvlJc w:val="left"/>
      <w:pPr>
        <w:ind w:left="4910" w:hanging="812"/>
      </w:pPr>
      <w:rPr>
        <w:rFonts w:hint="default"/>
        <w:lang w:val="zh-CN" w:eastAsia="zh-CN" w:bidi="zh-CN"/>
      </w:rPr>
    </w:lvl>
    <w:lvl w:ilvl="5" w:tentative="0">
      <w:start w:val="0"/>
      <w:numFmt w:val="bullet"/>
      <w:lvlText w:val="•"/>
      <w:lvlJc w:val="left"/>
      <w:pPr>
        <w:ind w:left="5737" w:hanging="812"/>
      </w:pPr>
      <w:rPr>
        <w:rFonts w:hint="default"/>
        <w:lang w:val="zh-CN" w:eastAsia="zh-CN" w:bidi="zh-CN"/>
      </w:rPr>
    </w:lvl>
    <w:lvl w:ilvl="6" w:tentative="0">
      <w:start w:val="0"/>
      <w:numFmt w:val="bullet"/>
      <w:lvlText w:val="•"/>
      <w:lvlJc w:val="left"/>
      <w:pPr>
        <w:ind w:left="6565" w:hanging="812"/>
      </w:pPr>
      <w:rPr>
        <w:rFonts w:hint="default"/>
        <w:lang w:val="zh-CN" w:eastAsia="zh-CN" w:bidi="zh-CN"/>
      </w:rPr>
    </w:lvl>
    <w:lvl w:ilvl="7" w:tentative="0">
      <w:start w:val="0"/>
      <w:numFmt w:val="bullet"/>
      <w:lvlText w:val="•"/>
      <w:lvlJc w:val="left"/>
      <w:pPr>
        <w:ind w:left="7392" w:hanging="812"/>
      </w:pPr>
      <w:rPr>
        <w:rFonts w:hint="default"/>
        <w:lang w:val="zh-CN" w:eastAsia="zh-CN" w:bidi="zh-CN"/>
      </w:rPr>
    </w:lvl>
    <w:lvl w:ilvl="8" w:tentative="0">
      <w:start w:val="0"/>
      <w:numFmt w:val="bullet"/>
      <w:lvlText w:val="•"/>
      <w:lvlJc w:val="left"/>
      <w:pPr>
        <w:ind w:left="8220" w:hanging="812"/>
      </w:pPr>
      <w:rPr>
        <w:rFonts w:hint="default"/>
        <w:lang w:val="zh-CN" w:eastAsia="zh-CN" w:bidi="zh-CN"/>
      </w:rPr>
    </w:lvl>
  </w:abstractNum>
  <w:abstractNum w:abstractNumId="6">
    <w:nsid w:val="03D62ECE"/>
    <w:multiLevelType w:val="multilevel"/>
    <w:tmpl w:val="03D62ECE"/>
    <w:lvl w:ilvl="0" w:tentative="0">
      <w:start w:val="86"/>
      <w:numFmt w:val="decimal"/>
      <w:lvlText w:val="%1"/>
      <w:lvlJc w:val="left"/>
      <w:pPr>
        <w:ind w:left="1020" w:hanging="881"/>
        <w:jc w:val="left"/>
      </w:pPr>
      <w:rPr>
        <w:rFonts w:hint="default"/>
        <w:lang w:val="zh-CN" w:eastAsia="zh-CN" w:bidi="zh-CN"/>
      </w:rPr>
    </w:lvl>
    <w:lvl w:ilvl="1" w:tentative="0">
      <w:start w:val="58"/>
      <w:numFmt w:val="decimal"/>
      <w:lvlText w:val="%1.%2"/>
      <w:lvlJc w:val="left"/>
      <w:pPr>
        <w:ind w:left="1020" w:hanging="881"/>
        <w:jc w:val="left"/>
      </w:pPr>
      <w:rPr>
        <w:rFonts w:hint="default"/>
        <w:spacing w:val="-2"/>
        <w:w w:val="99"/>
        <w:u w:val="single" w:color="000000"/>
        <w:lang w:val="zh-CN" w:eastAsia="zh-CN" w:bidi="zh-CN"/>
      </w:rPr>
    </w:lvl>
    <w:lvl w:ilvl="2" w:tentative="0">
      <w:start w:val="1"/>
      <w:numFmt w:val="decimal"/>
      <w:lvlText w:val="%3."/>
      <w:lvlJc w:val="left"/>
      <w:pPr>
        <w:ind w:left="1195" w:hanging="460"/>
        <w:jc w:val="left"/>
      </w:pPr>
      <w:rPr>
        <w:rFonts w:hint="default"/>
        <w:spacing w:val="-7"/>
        <w:w w:val="100"/>
        <w:lang w:val="zh-CN" w:eastAsia="zh-CN" w:bidi="zh-CN"/>
      </w:rPr>
    </w:lvl>
    <w:lvl w:ilvl="3" w:tentative="0">
      <w:start w:val="0"/>
      <w:numFmt w:val="bullet"/>
      <w:lvlText w:val="•"/>
      <w:lvlJc w:val="left"/>
      <w:pPr>
        <w:ind w:left="3127" w:hanging="460"/>
      </w:pPr>
      <w:rPr>
        <w:rFonts w:hint="default"/>
        <w:lang w:val="zh-CN" w:eastAsia="zh-CN" w:bidi="zh-CN"/>
      </w:rPr>
    </w:lvl>
    <w:lvl w:ilvl="4" w:tentative="0">
      <w:start w:val="0"/>
      <w:numFmt w:val="bullet"/>
      <w:lvlText w:val="•"/>
      <w:lvlJc w:val="left"/>
      <w:pPr>
        <w:ind w:left="4091" w:hanging="460"/>
      </w:pPr>
      <w:rPr>
        <w:rFonts w:hint="default"/>
        <w:lang w:val="zh-CN" w:eastAsia="zh-CN" w:bidi="zh-CN"/>
      </w:rPr>
    </w:lvl>
    <w:lvl w:ilvl="5" w:tentative="0">
      <w:start w:val="0"/>
      <w:numFmt w:val="bullet"/>
      <w:lvlText w:val="•"/>
      <w:lvlJc w:val="left"/>
      <w:pPr>
        <w:ind w:left="5055" w:hanging="460"/>
      </w:pPr>
      <w:rPr>
        <w:rFonts w:hint="default"/>
        <w:lang w:val="zh-CN" w:eastAsia="zh-CN" w:bidi="zh-CN"/>
      </w:rPr>
    </w:lvl>
    <w:lvl w:ilvl="6" w:tentative="0">
      <w:start w:val="0"/>
      <w:numFmt w:val="bullet"/>
      <w:lvlText w:val="•"/>
      <w:lvlJc w:val="left"/>
      <w:pPr>
        <w:ind w:left="6019" w:hanging="460"/>
      </w:pPr>
      <w:rPr>
        <w:rFonts w:hint="default"/>
        <w:lang w:val="zh-CN" w:eastAsia="zh-CN" w:bidi="zh-CN"/>
      </w:rPr>
    </w:lvl>
    <w:lvl w:ilvl="7" w:tentative="0">
      <w:start w:val="0"/>
      <w:numFmt w:val="bullet"/>
      <w:lvlText w:val="•"/>
      <w:lvlJc w:val="left"/>
      <w:pPr>
        <w:ind w:left="6983" w:hanging="460"/>
      </w:pPr>
      <w:rPr>
        <w:rFonts w:hint="default"/>
        <w:lang w:val="zh-CN" w:eastAsia="zh-CN" w:bidi="zh-CN"/>
      </w:rPr>
    </w:lvl>
    <w:lvl w:ilvl="8" w:tentative="0">
      <w:start w:val="0"/>
      <w:numFmt w:val="bullet"/>
      <w:lvlText w:val="•"/>
      <w:lvlJc w:val="left"/>
      <w:pPr>
        <w:ind w:left="7947" w:hanging="460"/>
      </w:pPr>
      <w:rPr>
        <w:rFonts w:hint="default"/>
        <w:lang w:val="zh-CN" w:eastAsia="zh-CN" w:bidi="zh-CN"/>
      </w:rPr>
    </w:lvl>
  </w:abstractNum>
  <w:abstractNum w:abstractNumId="7">
    <w:nsid w:val="25B654F3"/>
    <w:multiLevelType w:val="multilevel"/>
    <w:tmpl w:val="25B654F3"/>
    <w:lvl w:ilvl="0" w:tentative="0">
      <w:start w:val="1"/>
      <w:numFmt w:val="decimal"/>
      <w:lvlText w:val="%1."/>
      <w:lvlJc w:val="left"/>
      <w:pPr>
        <w:ind w:left="140" w:hanging="480"/>
        <w:jc w:val="left"/>
      </w:pPr>
      <w:rPr>
        <w:rFonts w:hint="default" w:ascii="宋体" w:hAnsi="宋体" w:eastAsia="宋体" w:cs="宋体"/>
        <w:spacing w:val="-2"/>
        <w:w w:val="99"/>
        <w:sz w:val="30"/>
        <w:szCs w:val="30"/>
        <w:lang w:val="zh-CN" w:eastAsia="zh-CN" w:bidi="zh-CN"/>
      </w:rPr>
    </w:lvl>
    <w:lvl w:ilvl="1" w:tentative="0">
      <w:start w:val="0"/>
      <w:numFmt w:val="bullet"/>
      <w:lvlText w:val="•"/>
      <w:lvlJc w:val="left"/>
      <w:pPr>
        <w:ind w:left="1113" w:hanging="480"/>
      </w:pPr>
      <w:rPr>
        <w:rFonts w:hint="default"/>
        <w:lang w:val="zh-CN" w:eastAsia="zh-CN" w:bidi="zh-CN"/>
      </w:rPr>
    </w:lvl>
    <w:lvl w:ilvl="2" w:tentative="0">
      <w:start w:val="0"/>
      <w:numFmt w:val="bullet"/>
      <w:lvlText w:val="•"/>
      <w:lvlJc w:val="left"/>
      <w:pPr>
        <w:ind w:left="2087" w:hanging="480"/>
      </w:pPr>
      <w:rPr>
        <w:rFonts w:hint="default"/>
        <w:lang w:val="zh-CN" w:eastAsia="zh-CN" w:bidi="zh-CN"/>
      </w:rPr>
    </w:lvl>
    <w:lvl w:ilvl="3" w:tentative="0">
      <w:start w:val="0"/>
      <w:numFmt w:val="bullet"/>
      <w:lvlText w:val="•"/>
      <w:lvlJc w:val="left"/>
      <w:pPr>
        <w:ind w:left="3060" w:hanging="480"/>
      </w:pPr>
      <w:rPr>
        <w:rFonts w:hint="default"/>
        <w:lang w:val="zh-CN" w:eastAsia="zh-CN" w:bidi="zh-CN"/>
      </w:rPr>
    </w:lvl>
    <w:lvl w:ilvl="4" w:tentative="0">
      <w:start w:val="0"/>
      <w:numFmt w:val="bullet"/>
      <w:lvlText w:val="•"/>
      <w:lvlJc w:val="left"/>
      <w:pPr>
        <w:ind w:left="4034" w:hanging="480"/>
      </w:pPr>
      <w:rPr>
        <w:rFonts w:hint="default"/>
        <w:lang w:val="zh-CN" w:eastAsia="zh-CN" w:bidi="zh-CN"/>
      </w:rPr>
    </w:lvl>
    <w:lvl w:ilvl="5" w:tentative="0">
      <w:start w:val="0"/>
      <w:numFmt w:val="bullet"/>
      <w:lvlText w:val="•"/>
      <w:lvlJc w:val="left"/>
      <w:pPr>
        <w:ind w:left="5007" w:hanging="480"/>
      </w:pPr>
      <w:rPr>
        <w:rFonts w:hint="default"/>
        <w:lang w:val="zh-CN" w:eastAsia="zh-CN" w:bidi="zh-CN"/>
      </w:rPr>
    </w:lvl>
    <w:lvl w:ilvl="6" w:tentative="0">
      <w:start w:val="0"/>
      <w:numFmt w:val="bullet"/>
      <w:lvlText w:val="•"/>
      <w:lvlJc w:val="left"/>
      <w:pPr>
        <w:ind w:left="5981" w:hanging="480"/>
      </w:pPr>
      <w:rPr>
        <w:rFonts w:hint="default"/>
        <w:lang w:val="zh-CN" w:eastAsia="zh-CN" w:bidi="zh-CN"/>
      </w:rPr>
    </w:lvl>
    <w:lvl w:ilvl="7" w:tentative="0">
      <w:start w:val="0"/>
      <w:numFmt w:val="bullet"/>
      <w:lvlText w:val="•"/>
      <w:lvlJc w:val="left"/>
      <w:pPr>
        <w:ind w:left="6954" w:hanging="480"/>
      </w:pPr>
      <w:rPr>
        <w:rFonts w:hint="default"/>
        <w:lang w:val="zh-CN" w:eastAsia="zh-CN" w:bidi="zh-CN"/>
      </w:rPr>
    </w:lvl>
    <w:lvl w:ilvl="8" w:tentative="0">
      <w:start w:val="0"/>
      <w:numFmt w:val="bullet"/>
      <w:lvlText w:val="•"/>
      <w:lvlJc w:val="left"/>
      <w:pPr>
        <w:ind w:left="7928" w:hanging="480"/>
      </w:pPr>
      <w:rPr>
        <w:rFonts w:hint="default"/>
        <w:lang w:val="zh-CN" w:eastAsia="zh-CN" w:bidi="zh-CN"/>
      </w:rPr>
    </w:lvl>
  </w:abstractNum>
  <w:abstractNum w:abstractNumId="8">
    <w:nsid w:val="59ADCABA"/>
    <w:multiLevelType w:val="multilevel"/>
    <w:tmpl w:val="59ADCABA"/>
    <w:lvl w:ilvl="0" w:tentative="0">
      <w:start w:val="0"/>
      <w:numFmt w:val="decimal"/>
      <w:lvlText w:val="%1"/>
      <w:lvlJc w:val="left"/>
      <w:pPr>
        <w:ind w:left="140" w:hanging="632"/>
        <w:jc w:val="left"/>
      </w:pPr>
      <w:rPr>
        <w:rFonts w:hint="default"/>
        <w:lang w:val="zh-CN" w:eastAsia="zh-CN" w:bidi="zh-CN"/>
      </w:rPr>
    </w:lvl>
    <w:lvl w:ilvl="1" w:tentative="0">
      <w:start w:val="7"/>
      <w:numFmt w:val="decimalZero"/>
      <w:lvlText w:val="%1.%2"/>
      <w:lvlJc w:val="left"/>
      <w:pPr>
        <w:ind w:left="140" w:hanging="632"/>
        <w:jc w:val="left"/>
      </w:pPr>
      <w:rPr>
        <w:rFonts w:hint="default"/>
        <w:spacing w:val="-1"/>
        <w:w w:val="99"/>
        <w:u w:val="single" w:color="000000"/>
        <w:lang w:val="zh-CN" w:eastAsia="zh-CN" w:bidi="zh-CN"/>
      </w:rPr>
    </w:lvl>
    <w:lvl w:ilvl="2" w:tentative="0">
      <w:start w:val="1"/>
      <w:numFmt w:val="decimal"/>
      <w:lvlText w:val="%3."/>
      <w:lvlJc w:val="left"/>
      <w:pPr>
        <w:ind w:left="1022" w:hanging="242"/>
        <w:jc w:val="left"/>
      </w:pPr>
      <w:rPr>
        <w:rFonts w:hint="default" w:ascii="Times New Roman" w:hAnsi="Times New Roman" w:eastAsia="Times New Roman" w:cs="Times New Roman"/>
        <w:spacing w:val="-1"/>
        <w:w w:val="99"/>
        <w:sz w:val="30"/>
        <w:szCs w:val="30"/>
        <w:lang w:val="zh-CN" w:eastAsia="zh-CN" w:bidi="zh-CN"/>
      </w:rPr>
    </w:lvl>
    <w:lvl w:ilvl="3" w:tentative="0">
      <w:start w:val="0"/>
      <w:numFmt w:val="bullet"/>
      <w:lvlText w:val="•"/>
      <w:lvlJc w:val="left"/>
      <w:pPr>
        <w:ind w:left="2987" w:hanging="242"/>
      </w:pPr>
      <w:rPr>
        <w:rFonts w:hint="default"/>
        <w:lang w:val="zh-CN" w:eastAsia="zh-CN" w:bidi="zh-CN"/>
      </w:rPr>
    </w:lvl>
    <w:lvl w:ilvl="4" w:tentative="0">
      <w:start w:val="0"/>
      <w:numFmt w:val="bullet"/>
      <w:lvlText w:val="•"/>
      <w:lvlJc w:val="left"/>
      <w:pPr>
        <w:ind w:left="3971" w:hanging="242"/>
      </w:pPr>
      <w:rPr>
        <w:rFonts w:hint="default"/>
        <w:lang w:val="zh-CN" w:eastAsia="zh-CN" w:bidi="zh-CN"/>
      </w:rPr>
    </w:lvl>
    <w:lvl w:ilvl="5" w:tentative="0">
      <w:start w:val="0"/>
      <w:numFmt w:val="bullet"/>
      <w:lvlText w:val="•"/>
      <w:lvlJc w:val="left"/>
      <w:pPr>
        <w:ind w:left="4955" w:hanging="242"/>
      </w:pPr>
      <w:rPr>
        <w:rFonts w:hint="default"/>
        <w:lang w:val="zh-CN" w:eastAsia="zh-CN" w:bidi="zh-CN"/>
      </w:rPr>
    </w:lvl>
    <w:lvl w:ilvl="6" w:tentative="0">
      <w:start w:val="0"/>
      <w:numFmt w:val="bullet"/>
      <w:lvlText w:val="•"/>
      <w:lvlJc w:val="left"/>
      <w:pPr>
        <w:ind w:left="5939" w:hanging="242"/>
      </w:pPr>
      <w:rPr>
        <w:rFonts w:hint="default"/>
        <w:lang w:val="zh-CN" w:eastAsia="zh-CN" w:bidi="zh-CN"/>
      </w:rPr>
    </w:lvl>
    <w:lvl w:ilvl="7" w:tentative="0">
      <w:start w:val="0"/>
      <w:numFmt w:val="bullet"/>
      <w:lvlText w:val="•"/>
      <w:lvlJc w:val="left"/>
      <w:pPr>
        <w:ind w:left="6923" w:hanging="242"/>
      </w:pPr>
      <w:rPr>
        <w:rFonts w:hint="default"/>
        <w:lang w:val="zh-CN" w:eastAsia="zh-CN" w:bidi="zh-CN"/>
      </w:rPr>
    </w:lvl>
    <w:lvl w:ilvl="8" w:tentative="0">
      <w:start w:val="0"/>
      <w:numFmt w:val="bullet"/>
      <w:lvlText w:val="•"/>
      <w:lvlJc w:val="left"/>
      <w:pPr>
        <w:ind w:left="7907" w:hanging="242"/>
      </w:pPr>
      <w:rPr>
        <w:rFonts w:hint="default"/>
        <w:lang w:val="zh-CN" w:eastAsia="zh-CN" w:bidi="zh-CN"/>
      </w:rPr>
    </w:lvl>
  </w:abstractNum>
  <w:abstractNum w:abstractNumId="9">
    <w:nsid w:val="72183CF9"/>
    <w:multiLevelType w:val="multilevel"/>
    <w:tmpl w:val="72183CF9"/>
    <w:lvl w:ilvl="0" w:tentative="0">
      <w:start w:val="0"/>
      <w:numFmt w:val="decimal"/>
      <w:lvlText w:val="%1"/>
      <w:lvlJc w:val="left"/>
      <w:pPr>
        <w:ind w:left="140" w:hanging="562"/>
        <w:jc w:val="left"/>
      </w:pPr>
      <w:rPr>
        <w:rFonts w:hint="default"/>
        <w:lang w:val="zh-CN" w:eastAsia="zh-CN" w:bidi="zh-CN"/>
      </w:rPr>
    </w:lvl>
    <w:lvl w:ilvl="1" w:tentative="0">
      <w:start w:val="0"/>
      <w:numFmt w:val="decimalZero"/>
      <w:lvlText w:val="%1.%2"/>
      <w:lvlJc w:val="left"/>
      <w:pPr>
        <w:ind w:left="140" w:hanging="562"/>
        <w:jc w:val="left"/>
      </w:pPr>
      <w:rPr>
        <w:rFonts w:hint="default"/>
        <w:spacing w:val="-2"/>
        <w:w w:val="99"/>
        <w:sz w:val="30"/>
        <w:szCs w:val="30"/>
        <w:u w:val="single" w:color="000000"/>
        <w:lang w:val="zh-CN" w:eastAsia="zh-CN" w:bidi="zh-CN"/>
      </w:rPr>
    </w:lvl>
    <w:lvl w:ilvl="2" w:tentative="0">
      <w:start w:val="1"/>
      <w:numFmt w:val="decimal"/>
      <w:lvlText w:val="%3."/>
      <w:lvlJc w:val="left"/>
      <w:pPr>
        <w:ind w:left="1022" w:hanging="242"/>
        <w:jc w:val="left"/>
      </w:pPr>
      <w:rPr>
        <w:rFonts w:hint="default" w:ascii="Times New Roman" w:hAnsi="Times New Roman" w:eastAsia="Times New Roman" w:cs="Times New Roman"/>
        <w:spacing w:val="-1"/>
        <w:w w:val="99"/>
        <w:sz w:val="30"/>
        <w:szCs w:val="30"/>
        <w:lang w:val="zh-CN" w:eastAsia="zh-CN" w:bidi="zh-CN"/>
      </w:rPr>
    </w:lvl>
    <w:lvl w:ilvl="3" w:tentative="0">
      <w:start w:val="0"/>
      <w:numFmt w:val="bullet"/>
      <w:lvlText w:val="•"/>
      <w:lvlJc w:val="left"/>
      <w:pPr>
        <w:ind w:left="2987" w:hanging="242"/>
      </w:pPr>
      <w:rPr>
        <w:rFonts w:hint="default"/>
        <w:lang w:val="zh-CN" w:eastAsia="zh-CN" w:bidi="zh-CN"/>
      </w:rPr>
    </w:lvl>
    <w:lvl w:ilvl="4" w:tentative="0">
      <w:start w:val="0"/>
      <w:numFmt w:val="bullet"/>
      <w:lvlText w:val="•"/>
      <w:lvlJc w:val="left"/>
      <w:pPr>
        <w:ind w:left="3971" w:hanging="242"/>
      </w:pPr>
      <w:rPr>
        <w:rFonts w:hint="default"/>
        <w:lang w:val="zh-CN" w:eastAsia="zh-CN" w:bidi="zh-CN"/>
      </w:rPr>
    </w:lvl>
    <w:lvl w:ilvl="5" w:tentative="0">
      <w:start w:val="0"/>
      <w:numFmt w:val="bullet"/>
      <w:lvlText w:val="•"/>
      <w:lvlJc w:val="left"/>
      <w:pPr>
        <w:ind w:left="4955" w:hanging="242"/>
      </w:pPr>
      <w:rPr>
        <w:rFonts w:hint="default"/>
        <w:lang w:val="zh-CN" w:eastAsia="zh-CN" w:bidi="zh-CN"/>
      </w:rPr>
    </w:lvl>
    <w:lvl w:ilvl="6" w:tentative="0">
      <w:start w:val="0"/>
      <w:numFmt w:val="bullet"/>
      <w:lvlText w:val="•"/>
      <w:lvlJc w:val="left"/>
      <w:pPr>
        <w:ind w:left="5939" w:hanging="242"/>
      </w:pPr>
      <w:rPr>
        <w:rFonts w:hint="default"/>
        <w:lang w:val="zh-CN" w:eastAsia="zh-CN" w:bidi="zh-CN"/>
      </w:rPr>
    </w:lvl>
    <w:lvl w:ilvl="7" w:tentative="0">
      <w:start w:val="0"/>
      <w:numFmt w:val="bullet"/>
      <w:lvlText w:val="•"/>
      <w:lvlJc w:val="left"/>
      <w:pPr>
        <w:ind w:left="6923" w:hanging="242"/>
      </w:pPr>
      <w:rPr>
        <w:rFonts w:hint="default"/>
        <w:lang w:val="zh-CN" w:eastAsia="zh-CN" w:bidi="zh-CN"/>
      </w:rPr>
    </w:lvl>
    <w:lvl w:ilvl="8" w:tentative="0">
      <w:start w:val="0"/>
      <w:numFmt w:val="bullet"/>
      <w:lvlText w:val="•"/>
      <w:lvlJc w:val="left"/>
      <w:pPr>
        <w:ind w:left="7907" w:hanging="242"/>
      </w:pPr>
      <w:rPr>
        <w:rFonts w:hint="default"/>
        <w:lang w:val="zh-CN" w:eastAsia="zh-CN" w:bidi="zh-CN"/>
      </w:r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YmYzMzFkZmZhMzNiYzNmYmM5MWZhMDFiNDNiOTUifQ=="/>
  </w:docVars>
  <w:rsids>
    <w:rsidRoot w:val="00000000"/>
    <w:rsid w:val="03027F48"/>
    <w:rsid w:val="208047C0"/>
    <w:rsid w:val="2A4431E7"/>
    <w:rsid w:val="2FB74CD0"/>
    <w:rsid w:val="41323698"/>
    <w:rsid w:val="51F85506"/>
    <w:rsid w:val="53C05F50"/>
    <w:rsid w:val="63AA56A6"/>
    <w:rsid w:val="6C2136A7"/>
    <w:rsid w:val="6D517F50"/>
    <w:rsid w:val="78AC6CDF"/>
    <w:rsid w:val="7E8F57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773"/>
      <w:outlineLvl w:val="1"/>
    </w:pPr>
    <w:rPr>
      <w:rFonts w:ascii="黑体" w:hAnsi="黑体" w:eastAsia="黑体" w:cs="黑体"/>
      <w:b/>
      <w:bCs/>
      <w:sz w:val="36"/>
      <w:szCs w:val="36"/>
      <w:lang w:val="zh-CN" w:eastAsia="zh-CN" w:bidi="zh-CN"/>
    </w:rPr>
  </w:style>
  <w:style w:type="paragraph" w:styleId="3">
    <w:name w:val="heading 2"/>
    <w:basedOn w:val="1"/>
    <w:next w:val="1"/>
    <w:qFormat/>
    <w:uiPriority w:val="1"/>
    <w:pPr>
      <w:ind w:left="783"/>
      <w:outlineLvl w:val="2"/>
    </w:pPr>
    <w:rPr>
      <w:rFonts w:ascii="黑体" w:hAnsi="黑体" w:eastAsia="黑体" w:cs="黑体"/>
      <w:b/>
      <w:bCs/>
      <w:sz w:val="32"/>
      <w:szCs w:val="32"/>
      <w:lang w:val="zh-CN" w:eastAsia="zh-CN" w:bidi="zh-CN"/>
    </w:rPr>
  </w:style>
  <w:style w:type="character" w:default="1" w:styleId="9">
    <w:name w:val="Default Paragraph Font"/>
    <w:semiHidden/>
    <w:unhideWhenUsed/>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rPr>
      <w:rFonts w:ascii="仿宋" w:hAnsi="仿宋" w:eastAsia="仿宋" w:cs="仿宋"/>
      <w:sz w:val="32"/>
      <w:szCs w:val="32"/>
      <w:lang w:val="zh-CN" w:eastAsia="zh-CN" w:bidi="zh-CN"/>
    </w:rPr>
  </w:style>
  <w:style w:type="paragraph" w:styleId="6">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7">
    <w:name w:val="Body Text First Indent 2"/>
    <w:basedOn w:val="6"/>
    <w:qFormat/>
    <w:uiPriority w:val="0"/>
    <w:pPr>
      <w:ind w:firstLine="420"/>
    </w:p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40" w:firstLine="640"/>
      <w:jc w:val="both"/>
    </w:pPr>
    <w:rPr>
      <w:rFonts w:ascii="仿宋" w:hAnsi="仿宋" w:eastAsia="仿宋" w:cs="仿宋"/>
      <w:lang w:val="zh-CN" w:eastAsia="zh-CN" w:bidi="zh-CN"/>
    </w:rPr>
  </w:style>
  <w:style w:type="paragraph" w:customStyle="1" w:styleId="1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12011</Words>
  <Characters>13222</Characters>
  <TotalTime>4</TotalTime>
  <ScaleCrop>false</ScaleCrop>
  <LinksUpToDate>false</LinksUpToDate>
  <CharactersWithSpaces>14005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2024-05-09T09:52:00Z</dcterms:created>
  <dc:creator>Administrator</dc:creator>
  <cp:lastModifiedBy>温馨</cp:lastModifiedBy>
  <cp:lastPrinted>2024-05-10T03:20:00Z</cp:lastPrinted>
  <dcterms:modified xsi:type="dcterms:W3CDTF">2024-05-21T02:27:15Z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2023-08-17T00:00:00Z</vt:filetime>
  </property>
  <property fmtid="{D5CDD505-2E9C-101B-9397-08002B2CF9AE}" pid="3" name="Creator">
    <vt:lpwstr>WPS 文字</vt:lpwstr>
  </property>
  <property fmtid="{D5CDD505-2E9C-101B-9397-08002B2CF9AE}" pid="4" name="LastSaved">
    <vt:filetime>2024-05-09T00:00:00Z</vt:filetime>
  </property>
  <property fmtid="{D5CDD505-2E9C-101B-9397-08002B2CF9AE}" pid="5" name="KSOProductBuildVer">
    <vt:lpwstr>2052-12.1.0.16929</vt:lpwstr>
  </property>
  <property fmtid="{D5CDD505-2E9C-101B-9397-08002B2CF9AE}" pid="6" name="ICV">
    <vt:lpwstr>56F0FB0437344FC6AA1224054A3E3F02_13</vt:lpwstr>
  </property>
</Properties>
</file>