
<file path=[Content_Types].xml><?xml version="1.0" encoding="utf-8"?>
<Types xmlns="http://schemas.openxmlformats.org/package/2006/content-types">
  <Default Extension="rels" ContentType="application/vnd.openxmlformats-package.relationships+xml"/>
  <Default Extension="xml" ContentType="application/xml"/>
  <Override ContentType="application/xml" PartName="/customXml/item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app.xml" Type="http://schemas.openxmlformats.org/officeDocument/2006/relationships/extended-properties" Id="rId2"/>
    <Relationship Target="docProps/core.xml" Type="http://schemas.openxmlformats.org/package/2006/relationships/metadata/core-properties" Id="rId3"/>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1 (Apache licensed) using ORACLE_JRE JAXB in Oracle Java 1.8.0_162 on Linux -->
    <w:p w:rsidR="009F0536" w14:paraId="2945DC3E" w14:textId="77777777">
      <w:pPr>
        <w:spacing w:line="360" w:lineRule="auto"/>
        <w:jc w:val="center"/>
        <w:rPr>
          <w:rFonts w:ascii="宋体" w:hAnsi="宋体"/>
          <w:sz w:val="24"/>
        </w:rPr>
      </w:pPr>
    </w:p>
    <w:p w:rsidR="009F0536" w14:paraId="781F0199" w14:textId="77777777">
      <w:pPr>
        <w:spacing w:line="360" w:lineRule="auto"/>
        <w:jc w:val="center"/>
        <w:rPr>
          <w:rFonts w:ascii="宋体" w:hAnsi="宋体"/>
          <w:sz w:val="24"/>
        </w:rPr>
      </w:pPr>
    </w:p>
    <w:p w:rsidR="009F0536" w14:paraId="588D4AEF" w14:textId="77777777">
      <w:pPr>
        <w:spacing w:line="360" w:lineRule="auto"/>
        <w:jc w:val="center"/>
        <w:rPr>
          <w:rFonts w:ascii="宋体" w:hAnsi="宋体"/>
          <w:sz w:val="24"/>
        </w:rPr>
      </w:pPr>
    </w:p>
    <w:p w:rsidR="009F0536" w14:paraId="3F809282" w14:textId="77777777">
      <w:pPr>
        <w:spacing w:line="360" w:lineRule="auto"/>
        <w:jc w:val="center"/>
        <w:rPr>
          <w:rFonts w:ascii="宋体" w:hAnsi="宋体"/>
          <w:sz w:val="24"/>
        </w:rPr>
      </w:pPr>
    </w:p>
    <w:p w:rsidR="009F0536" w14:paraId="42815D58" w14:textId="42FD7489">
      <w:pPr>
        <w:spacing w:line="360" w:lineRule="auto"/>
        <w:jc w:val="center"/>
        <w:rPr>
          <w:rFonts w:ascii="宋体" w:hAnsi="宋体"/>
          <w:b/>
          <w:bCs/>
          <w:sz w:val="52"/>
          <w:szCs w:val="52"/>
        </w:rPr>
      </w:pPr>
      <w:r>
        <w:rPr>
          <w:rFonts w:ascii="宋体" w:hAnsi="宋体"/>
          <w:b/>
          <w:bCs/>
          <w:sz w:val="52"/>
          <w:szCs w:val="52"/>
        </w:rPr>
        <w:t>2023</w:t>
      </w:r>
      <w:r w:rsidR="00AB013A">
        <w:rPr>
          <w:rFonts w:hint="eastAsia" w:ascii="宋体" w:hAnsi="宋体"/>
          <w:b/>
          <w:bCs/>
          <w:sz w:val="52"/>
          <w:szCs w:val="52"/>
        </w:rPr>
        <w:t>年度</w:t>
      </w:r>
      <w:r>
        <w:rPr>
          <w:rFonts w:hint="eastAsia" w:ascii="宋体" w:hAnsi="宋体"/>
          <w:b/>
          <w:bCs/>
          <w:sz w:val="52"/>
          <w:szCs w:val="52"/>
        </w:rPr>
        <w:t>锡林郭勒盟农牧技术推广中心</w:t>
      </w:r>
    </w:p>
    <w:p w:rsidR="009F0536" w14:paraId="77E6C3D2" w14:textId="46318821">
      <w:pPr>
        <w:spacing w:line="360" w:lineRule="auto"/>
        <w:jc w:val="center"/>
        <w:rPr>
          <w:rFonts w:ascii="宋体" w:hAnsi="宋体"/>
          <w:b/>
          <w:bCs/>
          <w:sz w:val="52"/>
          <w:szCs w:val="52"/>
        </w:rPr>
      </w:pPr>
      <w:r>
        <w:rPr>
          <w:rFonts w:hint="eastAsia" w:ascii="宋体" w:hAnsi="宋体"/>
          <w:b/>
          <w:bCs/>
          <w:sz w:val="52"/>
          <w:szCs w:val="52"/>
        </w:rPr>
        <w:t>公开文档</w:t>
      </w:r>
    </w:p>
    <w:p w:rsidR="009F0536" w14:paraId="6AF33ABC" w14:textId="77777777">
      <w:pPr>
        <w:spacing w:line="360" w:lineRule="auto"/>
        <w:jc w:val="center"/>
        <w:rPr>
          <w:rFonts w:ascii="宋体" w:hAnsi="宋体"/>
          <w:b/>
          <w:bCs/>
          <w:sz w:val="52"/>
          <w:szCs w:val="52"/>
        </w:rPr>
      </w:pPr>
    </w:p>
    <w:p w:rsidR="009F0536" w14:paraId="10212A6C" w14:textId="77777777">
      <w:pPr>
        <w:spacing w:line="360" w:lineRule="auto"/>
        <w:jc w:val="center"/>
        <w:rPr>
          <w:rFonts w:ascii="宋体" w:hAnsi="宋体"/>
          <w:b/>
          <w:bCs/>
          <w:sz w:val="52"/>
          <w:szCs w:val="52"/>
        </w:rPr>
      </w:pPr>
    </w:p>
    <w:p w:rsidR="009F0536" w14:paraId="636528E7" w14:textId="77777777">
      <w:pPr>
        <w:spacing w:line="360" w:lineRule="auto"/>
        <w:jc w:val="center"/>
        <w:rPr>
          <w:rFonts w:ascii="宋体" w:hAnsi="宋体"/>
          <w:b/>
          <w:bCs/>
          <w:sz w:val="52"/>
          <w:szCs w:val="52"/>
        </w:rPr>
      </w:pPr>
    </w:p>
    <w:p w:rsidR="009F0536" w14:paraId="3ADF248C" w14:textId="77777777">
      <w:pPr>
        <w:spacing w:line="360" w:lineRule="auto"/>
        <w:jc w:val="center"/>
        <w:rPr>
          <w:rFonts w:ascii="宋体" w:hAnsi="宋体"/>
          <w:b/>
          <w:bCs/>
          <w:sz w:val="52"/>
          <w:szCs w:val="52"/>
        </w:rPr>
      </w:pPr>
    </w:p>
    <w:p w:rsidR="009F0536" w14:paraId="1D89E7A7" w14:textId="77777777">
      <w:pPr>
        <w:spacing w:line="360" w:lineRule="auto"/>
        <w:jc w:val="center"/>
        <w:rPr>
          <w:rFonts w:ascii="宋体" w:hAnsi="宋体"/>
          <w:b/>
          <w:bCs/>
          <w:sz w:val="52"/>
          <w:szCs w:val="52"/>
        </w:rPr>
      </w:pPr>
    </w:p>
    <w:p w:rsidRPr="009E227B" w:rsidR="009F0536" w:rsidP="009E227B" w14:paraId="6C9B9DF2" w14:textId="69866F74">
      <w:pPr>
        <w:spacing w:line="360" w:lineRule="auto"/>
        <w:ind w:firstLine="2240" w:firstLineChars="700"/>
        <w:jc w:val="left"/>
        <w:rPr>
          <w:rFonts w:ascii="宋体" w:hAnsi="宋体"/>
          <w:sz w:val="32"/>
          <w:szCs w:val="32"/>
        </w:rPr>
      </w:pPr>
      <w:r>
        <w:rPr>
          <w:rFonts w:hint="eastAsia" w:ascii="宋体" w:hAnsi="宋体"/>
          <w:sz w:val="32"/>
          <w:szCs w:val="32"/>
        </w:rPr>
        <w:t>部门（单位）名称：</w:t>
      </w:r>
      <w:r w:rsidR="009E227B">
        <w:rPr>
          <w:rFonts w:hint="eastAsia" w:ascii="宋体" w:hAnsi="宋体"/>
          <w:sz w:val="32"/>
          <w:szCs w:val="32"/>
        </w:rPr>
        <w:t>锡林郭勒盟农牧技术推广中心</w:t>
      </w:r>
    </w:p>
    <w:p w:rsidR="009F0536" w:rsidP="005011E1" w14:paraId="29073C42" w14:textId="22E5ABDD">
      <w:pPr>
        <w:spacing w:line="360" w:lineRule="auto"/>
        <w:ind w:firstLine="2240" w:firstLineChars="700"/>
        <w:jc w:val="left"/>
        <w:rPr>
          <w:rFonts w:ascii="宋体" w:hAnsi="宋体"/>
          <w:sz w:val="32"/>
          <w:szCs w:val="32"/>
        </w:rPr>
      </w:pPr>
      <w:r>
        <w:rPr>
          <w:rFonts w:hint="eastAsia" w:ascii="宋体" w:hAnsi="宋体"/>
          <w:sz w:val="32"/>
          <w:szCs w:val="32"/>
        </w:rPr>
        <w:t>单位负责人：</w:t>
      </w:r>
      <w:r w:rsidR="009E227B">
        <w:rPr>
          <w:rFonts w:hint="eastAsia" w:ascii="宋体" w:hAnsi="宋体"/>
          <w:sz w:val="32"/>
          <w:szCs w:val="32"/>
        </w:rPr>
        <w:t>额尔登图</w:t>
      </w:r>
    </w:p>
    <w:p w:rsidR="009F0536" w:rsidP="005011E1" w14:paraId="159F86D2" w14:textId="31B994AC">
      <w:pPr>
        <w:spacing w:line="360" w:lineRule="auto"/>
        <w:ind w:firstLine="2240" w:firstLineChars="700"/>
        <w:jc w:val="left"/>
        <w:rPr>
          <w:rFonts w:ascii="宋体" w:hAnsi="宋体"/>
          <w:sz w:val="32"/>
          <w:szCs w:val="32"/>
        </w:rPr>
      </w:pPr>
      <w:r>
        <w:rPr>
          <w:rFonts w:hint="eastAsia" w:ascii="宋体" w:hAnsi="宋体"/>
          <w:sz w:val="32"/>
          <w:szCs w:val="32"/>
        </w:rPr>
        <w:t>财务负责人：</w:t>
      </w:r>
      <w:r w:rsidR="009E227B">
        <w:rPr>
          <w:rFonts w:hint="eastAsia" w:ascii="宋体" w:hAnsi="宋体"/>
          <w:sz w:val="32"/>
          <w:szCs w:val="32"/>
        </w:rPr>
        <w:t>陈绍恒</w:t>
      </w:r>
    </w:p>
    <w:p w:rsidR="009F0536" w:rsidP="005011E1" w14:paraId="2403EDC6" w14:textId="728440CA">
      <w:pPr>
        <w:spacing w:line="360" w:lineRule="auto"/>
        <w:ind w:firstLine="2240" w:firstLineChars="700"/>
        <w:jc w:val="left"/>
        <w:rPr>
          <w:rFonts w:ascii="宋体" w:hAnsi="宋体"/>
          <w:sz w:val="32"/>
          <w:szCs w:val="32"/>
        </w:rPr>
      </w:pPr>
      <w:r>
        <w:rPr>
          <w:rFonts w:hint="eastAsia" w:ascii="宋体" w:hAnsi="宋体"/>
          <w:sz w:val="32"/>
          <w:szCs w:val="32"/>
        </w:rPr>
        <w:t>编制人：</w:t>
      </w:r>
      <w:r w:rsidR="009E227B">
        <w:rPr>
          <w:rFonts w:hint="eastAsia" w:ascii="宋体" w:hAnsi="宋体"/>
          <w:sz w:val="32"/>
          <w:szCs w:val="32"/>
        </w:rPr>
        <w:t>张向泽</w:t>
      </w:r>
    </w:p>
    <w:p w:rsidR="009F0536" w:rsidP="005011E1" w14:paraId="45C58358" w14:textId="3755741C">
      <w:pPr>
        <w:spacing w:line="360" w:lineRule="auto"/>
        <w:ind w:firstLine="2240" w:firstLineChars="700"/>
        <w:jc w:val="left"/>
        <w:rPr>
          <w:rFonts w:ascii="宋体" w:hAnsi="宋体"/>
          <w:sz w:val="32"/>
          <w:szCs w:val="32"/>
        </w:rPr>
      </w:pPr>
      <w:r>
        <w:rPr>
          <w:rFonts w:hint="eastAsia" w:ascii="宋体" w:hAnsi="宋体"/>
          <w:sz w:val="32"/>
          <w:szCs w:val="32"/>
        </w:rPr>
        <w:t>报送日期：</w:t>
      </w:r>
      <w:r w:rsidR="009E227B">
        <w:rPr>
          <w:rFonts w:ascii="宋体" w:hAnsi="宋体"/>
          <w:sz w:val="32"/>
          <w:szCs w:val="32"/>
        </w:rPr>
        <w:t>2024</w:t>
      </w:r>
      <w:r>
        <w:rPr>
          <w:rFonts w:hint="eastAsia" w:ascii="宋体" w:hAnsi="宋体"/>
          <w:sz w:val="32"/>
          <w:szCs w:val="32"/>
        </w:rPr>
        <w:t>年</w:t>
      </w:r>
      <w:r w:rsidR="009E227B">
        <w:rPr>
          <w:rFonts w:hint="eastAsia" w:ascii="宋体" w:hAnsi="宋体"/>
          <w:sz w:val="32"/>
          <w:szCs w:val="32"/>
        </w:rPr>
        <w:t>11</w:t>
      </w:r>
      <w:r>
        <w:rPr>
          <w:rFonts w:hint="eastAsia" w:ascii="宋体" w:hAnsi="宋体"/>
          <w:sz w:val="32"/>
          <w:szCs w:val="32"/>
        </w:rPr>
        <w:t>月</w:t>
      </w:r>
    </w:p>
    <w:p w:rsidR="009F0536" w:rsidP="00312846" w14:paraId="454CAC92" w14:textId="77777777">
      <w:pPr>
        <w:ind w:firstLine="2240" w:firstLineChars="700"/>
        <w:rPr>
          <w:rFonts w:ascii="仿宋" w:hAnsi="仿宋" w:eastAsia="仿宋"/>
          <w:b/>
          <w:sz w:val="32"/>
          <w:szCs w:val="32"/>
        </w:rPr>
        <w:sectPr>
          <w:footerReference w:type="default" r:id="rId5"/>
          <w:pgSz w:w="11906" w:h="16838" w:code="9"/>
          <w:pgMar w:top="1440" w:right="1083" w:bottom="1440" w:left="1083" w:header="0" w:footer="720" w:gutter="0"/>
          <w:cols w:space="425"/>
          <w:docGrid w:type="lines" w:linePitch="312"/>
        </w:sectPr>
      </w:pPr>
    </w:p>
    <w:p w:rsidR="001814D4" w:rsidP="00490629" w14:paraId="7342F8BA" w14:textId="18EDE2D1">
      <w:pPr>
        <w:adjustRightInd w:val="false"/>
        <w:snapToGrid w:val="false"/>
        <w:rPr>
          <w:rFonts w:ascii="宋体" w:hAnsi="宋体"/>
          <w:b/>
          <w:sz w:val="32"/>
          <w:szCs w:val="32"/>
        </w:rPr>
      </w:pPr>
    </w:p>
    <w:p w:rsidR="001814D4" w:rsidP="001814D4" w14:paraId="4A679AAA" w14:textId="77777777">
      <w:pPr>
        <w:adjustRightInd w:val="false"/>
        <w:snapToGrid w:val="false"/>
        <w:jc w:val="center"/>
        <w:rPr>
          <w:noProof/>
        </w:rPr>
      </w:pPr>
    </w:p>
    <w:p w:rsidRPr="001814D4" w:rsidR="009F0536" w:rsidP="00FA7CA5" w14:paraId="574E833F" w14:textId="6B4CEB8F">
      <w:pPr>
        <w:adjustRightInd w:val="false"/>
        <w:snapToGrid w:val="false"/>
        <w:rPr>
          <w:rFonts w:ascii="宋体" w:hAnsi="宋体"/>
          <w:b/>
          <w:sz w:val="32"/>
          <w:szCs w:val="32"/>
        </w:rPr>
      </w:pPr>
    </w:p>
    <w:p w:rsidR="009F0536" w:rsidP="00954CD9" w14:paraId="508CBC77" w14:textId="0CFD8049">
      <w:pPr>
        <w:pStyle w:val="Heading1"/>
      </w:pPr>
      <w:r>
        <w:rPr>
          <w:rFonts w:hint="eastAsia"/>
        </w:rPr>
        <w:t>公开文档</w:t>
      </w:r>
    </w:p>
    <w:p w14:paraId="1C9A9517" w14:textId="77777777">
      <w:pPr>
        <w:widowControl/>
        <w:spacing w:after="240"/>
        <w:jc w:val="center"/>
        <w:rPr>
          <w:rFonts w:ascii="Times New Roman" w:hAnsi="Times New Roman" w:eastAsia="Times New Roman" w:cs="Times New Roman"/>
          <w:kern w:val="0"/>
          <w:sz w:val="24"/>
        </w:rPr>
      </w:pPr>
      <w:bookmarkStart w:name="a000" w:id="0"/>
      <w:r>
        <w:rPr>
          <w:rFonts w:ascii="fang_song_gb2312" w:hAnsi="fang_song_gb2312" w:eastAsia="fang_song_gb2312" w:cs="fang_song_gb2312"/>
          <w:b/>
          <w:bCs/>
          <w:kern w:val="0"/>
          <w:sz w:val="54"/>
          <w:szCs w:val="54"/>
        </w:rPr>
        <w:t>目</w:t>
      </w:r>
      <w:r>
        <w:rPr>
          <w:rFonts w:ascii="fang_song_gb2312" w:hAnsi="fang_song_gb2312" w:eastAsia="fang_song_gb2312" w:cs="fang_song_gb2312"/>
          <w:b/>
          <w:bCs/>
          <w:kern w:val="0"/>
          <w:sz w:val="54"/>
          <w:szCs w:val="54"/>
        </w:rPr>
        <w:t xml:space="preserve"> </w:t>
      </w:r>
      <w:r>
        <w:rPr>
          <w:rFonts w:ascii="fang_song_gb2312" w:hAnsi="fang_song_gb2312" w:eastAsia="fang_song_gb2312" w:cs="fang_song_gb2312"/>
          <w:b/>
          <w:bCs/>
          <w:kern w:val="0"/>
          <w:sz w:val="54"/>
          <w:szCs w:val="54"/>
        </w:rPr>
        <w:t>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Times New Roman" w:hAnsi="Times New Roman" w:eastAsia="Times New Roman" w:cs="Times New Roman"/>
          <w:kern w:val="0"/>
          <w:sz w:val="24"/>
        </w:rPr>
      </w:pPr>
      <w:r>
        <w:rPr>
          <w:rFonts w:ascii="SimHei" w:hAnsi="SimHei" w:eastAsia="SimHei" w:cs="SimHei"/>
          <w:kern w:val="0"/>
          <w:sz w:val="27"/>
          <w:szCs w:val="27"/>
        </w:rPr>
        <w:t>第一部分 部门（单位）概况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二、部门（单位）机构设置及决算单位构成情况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年度部门（单位）主要工作完成情况</w:t>
      </w:r>
    </w:p>
    <w:p>
      <w:pPr>
        <w:widowControl/>
        <w:spacing w:before="240" w:after="240"/>
        <w:jc w:val="left"/>
        <w:rPr>
          <w:rFonts w:ascii="Times New Roman" w:hAnsi="Times New Roman" w:eastAsia="Times New Roman" w:cs="Times New Roman"/>
          <w:kern w:val="0"/>
          <w:sz w:val="24"/>
        </w:rPr>
      </w:pPr>
      <w:r>
        <w:rPr>
          <w:rFonts w:ascii="SimHei" w:hAnsi="SimHei" w:eastAsia="SimHei" w:cs="SimHei"/>
          <w:kern w:val="0"/>
          <w:sz w:val="27"/>
          <w:szCs w:val="27"/>
        </w:rPr>
        <w:t>第二部分 部门（单位）决算情况说明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pPr>
        <w:widowControl/>
        <w:spacing w:before="240" w:after="240"/>
        <w:jc w:val="left"/>
        <w:rPr>
          <w:rFonts w:ascii="Times New Roman" w:hAnsi="Times New Roman" w:eastAsia="Times New Roman" w:cs="Times New Roman"/>
          <w:kern w:val="0"/>
          <w:sz w:val="24"/>
        </w:rPr>
      </w:pPr>
      <w:r>
        <w:rPr>
          <w:rFonts w:ascii="SimHei" w:hAnsi="SimHei" w:eastAsia="SimHei" w:cs="SimHei"/>
          <w:kern w:val="0"/>
          <w:sz w:val="27"/>
          <w:szCs w:val="27"/>
        </w:rPr>
        <w:t>第三部分 名词解释</w:t>
      </w:r>
    </w:p>
    <w:p>
      <w:pPr>
        <w:widowControl/>
        <w:spacing w:before="240" w:after="240"/>
        <w:jc w:val="left"/>
        <w:rPr>
          <w:rFonts w:ascii="Times New Roman" w:hAnsi="Times New Roman" w:eastAsia="Times New Roman" w:cs="Times New Roman"/>
          <w:kern w:val="0"/>
          <w:sz w:val="24"/>
        </w:rPr>
      </w:pPr>
      <w:r>
        <w:rPr>
          <w:rFonts w:ascii="SimHei" w:hAnsi="SimHei" w:eastAsia="SimHei" w:cs="SimHei"/>
          <w:kern w:val="0"/>
          <w:sz w:val="27"/>
          <w:szCs w:val="27"/>
        </w:rPr>
        <w:t>第四部分 决算公开联系方式及信息反馈渠道</w:t>
      </w:r>
    </w:p>
    <w:p>
      <w:pPr>
        <w:widowControl/>
        <w:spacing w:before="240" w:after="240"/>
        <w:jc w:val="left"/>
        <w:rPr>
          <w:rFonts w:ascii="Times New Roman" w:hAnsi="Times New Roman" w:eastAsia="Times New Roman" w:cs="Times New Roman"/>
          <w:kern w:val="0"/>
          <w:sz w:val="24"/>
        </w:rPr>
      </w:pPr>
      <w:r>
        <w:rPr>
          <w:rFonts w:ascii="SimHei" w:hAnsi="SimHei" w:eastAsia="SimHei" w:cs="SimHei"/>
          <w:kern w:val="0"/>
          <w:sz w:val="27"/>
          <w:szCs w:val="27"/>
        </w:rPr>
        <w:t>第五部分 部门（单位）决算表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特别强调1：每个公开位置要精准上传指定报表，切忌重复公开多个决算公开表；没有数据的报表也要上传空表，并在报表合计数处填“0”，同时在报表下方说明空表原因。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特别强调2：公开报表缩放比例要适当，最好保持在80%-100%。</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特别强调3：部门（单位）是决算公开的主体，部门（单位）对公开信息的真实性、准确性和完整性负责，并做好决算公开后的说明解释工作。依法确定为国家秘密的信息不予公开；涉密信息经法定程序解密并删除涉密内容后，予以公开。决算公开报告模板中蓝色字体是提示性语句，需根据提示性语句进行补充完善。要将模板提取的数据与决算报送终稿数据进行比对。模板中关于“增加（减少）、增长（减少）”的表述，如果对应提取数据为正数时，删除“（减少）”；如果对应提取数据为负数时，删除“增加”或“增长”、负号、以及减少两边的括号。公开时，报告中不要“残留”模板内容。</w:t>
      </w:r>
    </w:p>
    <w:p>
      <w:pPr>
        <w:widowControl/>
        <w:spacing w:before="240" w:after="240"/>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部门（单位）概况</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一、主要职能、职责</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部门（单位）公开的名称一定是全称并在报告和报表中保持一致，如果由于机构变革导致名称等与上年度信息偏差较大，则在此应说明。如部门（单位）属于新设立单位等原因，导致无法与上年决算做对比的，应公开“我部门（单位）为XX年度新设立部门（单位），无法与上年决算做对比”。</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二、部门（单位）机构设置及决算单位构成情况</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1</w:t>
      </w:r>
      <w:r>
        <w:rPr>
          <w:rFonts w:ascii="fang_song_gb2312" w:hAnsi="fang_song_gb2312" w:eastAsia="fang_song_gb2312" w:cs="fang_song_gb2312"/>
          <w:kern w:val="0"/>
          <w:sz w:val="27"/>
          <w:szCs w:val="27"/>
        </w:rPr>
        <w:t>.根据部门（单位）职责分工，本部门（单位）内设机构包括……。本部门（单位）下属单位包括：……。</w:t>
      </w:r>
      <w:r>
        <w:rPr>
          <w:rFonts w:ascii="fang_song_gb2312" w:hAnsi="fang_song_gb2312" w:eastAsia="fang_song_gb2312" w:cs="fang_song_gb2312"/>
          <w:color w:val="0E00FE"/>
          <w:kern w:val="0"/>
          <w:sz w:val="27"/>
          <w:szCs w:val="27"/>
        </w:rPr>
        <w:t>（注：如无下属单位，应写明“本部门（单位）无下属单位”）</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.从决算单位构成看，纳入本部门（单位）决算编制范围的预算单位共计</w:t>
      </w:r>
      <w:r>
        <w:rPr>
          <w:rFonts w:ascii="fang_song_gb2312" w:hAnsi="fang_song_gb2312" w:eastAsia="fang_song_gb2312" w:cs="fang_song_gb2312"/>
          <w:kern w:val="0"/>
          <w:sz w:val="27"/>
          <w:szCs w:val="27"/>
          <w:u w:val="single"/>
        </w:rPr>
        <w:t>XX</w:t>
      </w:r>
      <w:r>
        <w:rPr>
          <w:rFonts w:ascii="fang_song_gb2312" w:hAnsi="fang_song_gb2312" w:eastAsia="fang_song_gb2312" w:cs="fang_song_gb2312"/>
          <w:kern w:val="0"/>
          <w:sz w:val="27"/>
          <w:szCs w:val="27"/>
        </w:rPr>
        <w:t>家，具体包括：XX部门本级、XX、……。详细情况见表：</w:t>
      </w:r>
    </w:p>
    <w:tbl>
      <w:tblPr>
        <w:tblW w:w="3516" w:type="pct"/>
        <w:jc w:val="center"/>
        <w:tblInd w:w="30" w:type="dxa"/>
        <w:tblBorders>
          <w:top w:val="outset" w:color="808080" w:sz="6" w:space="0"/>
          <w:left w:val="outset" w:color="808080" w:sz="6" w:space="0"/>
          <w:bottom w:val="outset" w:color="808080" w:sz="6" w:space="0"/>
          <w:right w:val="outset" w:color="808080" w:sz="6" w:space="0"/>
        </w:tblBorders>
        <w:tblCellMar>
          <w:top w:w="15" w:type="dxa"/>
          <w:left w:w="15" w:type="dxa"/>
          <w:bottom w:w="15" w:type="dxa"/>
          <w:right w:w="15" w:type="dxa"/>
        </w:tblCellMar>
      </w:tblPr>
      <w:tblGrid>
        <w:gridCol w:w="559"/>
        <w:gridCol w:w="3135"/>
        <w:gridCol w:w="3104"/>
      </w:tblGrid>
      <w:tr>
        <w:tblPrEx>
          <w:tblW w:w="3516" w:type="pct"/>
          <w:jc w:val="center"/>
          <w:tblInd w:w="30" w:type="dxa"/>
          <w:tblBorders>
            <w:top w:val="outset" w:color="808080" w:sz="6" w:space="0"/>
            <w:left w:val="outset" w:color="808080" w:sz="6" w:space="0"/>
            <w:bottom w:val="outset" w:color="808080" w:sz="6" w:space="0"/>
            <w:right w:val="outset" w:color="808080" w:sz="6" w:space="0"/>
          </w:tblBorders>
          <w:tblCellMar>
            <w:top w:w="15" w:type="dxa"/>
            <w:left w:w="15" w:type="dxa"/>
            <w:bottom w:w="15" w:type="dxa"/>
            <w:right w:w="15" w:type="dxa"/>
          </w:tblCellMar>
        </w:tblPrEx>
        <w:trPr>
          <w:trHeight w:val="460"/>
          <w:jc w:val="center"/>
          <w:tblHeader/>
        </w:trPr>
        <w:tc>
          <w:tcPr>
            <w:tcW w:w="411" w:type="pct"/>
            <w:tcBorders>
              <w:bottom w:val="inset" w:color="808080" w:sz="6" w:space="0"/>
              <w:right w:val="inset" w:color="808080" w:sz="6" w:space="0"/>
            </w:tcBorders>
            <w:noWrap w:val="false"/>
            <w:tcMar>
              <w:top w:w="22" w:type="dxa"/>
              <w:left w:w="22" w:type="dxa"/>
              <w:bottom w:w="22" w:type="dxa"/>
              <w:right w:w="22" w:type="dxa"/>
            </w:tcMar>
            <w:vAlign w:val="center"/>
            <w:hideMark/>
          </w:tcPr>
          <w:p>
            <w:pPr>
              <w:widowControl/>
              <w:jc w:val="center"/>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序号</w:t>
            </w:r>
          </w:p>
        </w:tc>
        <w:tc>
          <w:tcPr>
            <w:tcW w:w="2306" w:type="pct"/>
            <w:tcBorders>
              <w:left w:val="inset" w:color="808080" w:sz="6" w:space="0"/>
              <w:bottom w:val="inset" w:color="808080" w:sz="6" w:space="0"/>
              <w:right w:val="inset" w:color="808080" w:sz="6" w:space="0"/>
            </w:tcBorders>
            <w:noWrap w:val="false"/>
            <w:tcMar>
              <w:top w:w="22" w:type="dxa"/>
              <w:left w:w="22" w:type="dxa"/>
              <w:bottom w:w="22" w:type="dxa"/>
              <w:right w:w="22" w:type="dxa"/>
            </w:tcMar>
            <w:vAlign w:val="center"/>
            <w:hideMark/>
          </w:tcPr>
          <w:p>
            <w:pPr>
              <w:widowControl/>
              <w:jc w:val="center"/>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单位名称</w:t>
            </w:r>
          </w:p>
        </w:tc>
        <w:tc>
          <w:tcPr>
            <w:tcW w:w="2283" w:type="pct"/>
            <w:tcBorders>
              <w:left w:val="inset" w:color="808080" w:sz="6" w:space="0"/>
              <w:bottom w:val="inset" w:color="808080" w:sz="6" w:space="0"/>
            </w:tcBorders>
            <w:noWrap w:val="false"/>
            <w:tcMar>
              <w:top w:w="22" w:type="dxa"/>
              <w:left w:w="22" w:type="dxa"/>
              <w:bottom w:w="22" w:type="dxa"/>
              <w:right w:w="22" w:type="dxa"/>
            </w:tcMar>
            <w:vAlign w:val="center"/>
            <w:hideMark/>
          </w:tcPr>
          <w:p>
            <w:pPr>
              <w:widowControl/>
              <w:jc w:val="center"/>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单位性质</w:t>
            </w:r>
          </w:p>
        </w:tc>
      </w:tr>
      <w:tr>
        <w:tblPrEx>
          <w:tblW w:w="3516" w:type="pct"/>
          <w:jc w:val="center"/>
          <w:tblInd w:w="30" w:type="dxa"/>
          <w:tblCellMar>
            <w:top w:w="15" w:type="dxa"/>
            <w:left w:w="15" w:type="dxa"/>
            <w:bottom w:w="15" w:type="dxa"/>
            <w:right w:w="15" w:type="dxa"/>
          </w:tblCellMar>
        </w:tblPrEx>
        <w:trPr>
          <w:trHeight w:val="369"/>
          <w:jc w:val="center"/>
        </w:trPr>
        <w:tc>
          <w:tcPr>
            <w:tcW w:w="411" w:type="pct"/>
            <w:tcBorders>
              <w:top w:val="inset" w:color="808080" w:sz="6" w:space="0"/>
              <w:bottom w:val="inset" w:color="808080" w:sz="6" w:space="0"/>
              <w:right w:val="inset" w:color="808080" w:sz="6" w:space="0"/>
            </w:tcBorders>
            <w:noWrap w:val="false"/>
            <w:tcMar>
              <w:top w:w="22" w:type="dxa"/>
              <w:left w:w="22" w:type="dxa"/>
              <w:bottom w:w="22" w:type="dxa"/>
              <w:right w:w="22" w:type="dxa"/>
            </w:tcMar>
            <w:vAlign w:val="center"/>
            <w:hideMark/>
          </w:tcPr>
          <w:p>
            <w:pPr>
              <w:widowControl/>
              <w:jc w:val="center"/>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1</w:t>
            </w:r>
          </w:p>
        </w:tc>
        <w:tc>
          <w:tcPr>
            <w:tcW w:w="2306" w:type="pct"/>
            <w:tcBorders>
              <w:top w:val="inset" w:color="808080" w:sz="6" w:space="0"/>
              <w:left w:val="inset" w:color="808080" w:sz="6" w:space="0"/>
              <w:bottom w:val="inset" w:color="808080" w:sz="6" w:space="0"/>
              <w:right w:val="inset" w:color="808080" w:sz="6" w:space="0"/>
            </w:tcBorders>
            <w:noWrap w:val="false"/>
            <w:tcMar>
              <w:top w:w="22" w:type="dxa"/>
              <w:left w:w="22" w:type="dxa"/>
              <w:bottom w:w="22" w:type="dxa"/>
              <w:right w:w="22" w:type="dxa"/>
            </w:tcMar>
            <w:vAlign w:val="center"/>
            <w:hideMark/>
          </w:tcPr>
          <w:p>
            <w:pPr>
              <w:widowControl/>
              <w:jc w:val="left"/>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XX</w:t>
            </w:r>
          </w:p>
        </w:tc>
        <w:tc>
          <w:tcPr>
            <w:tcW w:w="2283" w:type="pct"/>
            <w:tcBorders>
              <w:top w:val="inset" w:color="808080" w:sz="6" w:space="0"/>
              <w:left w:val="inset" w:color="808080" w:sz="6" w:space="0"/>
              <w:bottom w:val="inset" w:color="808080" w:sz="6" w:space="0"/>
            </w:tcBorders>
            <w:noWrap w:val="false"/>
            <w:tcMar>
              <w:top w:w="22" w:type="dxa"/>
              <w:left w:w="22" w:type="dxa"/>
              <w:bottom w:w="22" w:type="dxa"/>
              <w:right w:w="22" w:type="dxa"/>
            </w:tcMar>
            <w:vAlign w:val="center"/>
            <w:hideMark/>
          </w:tcPr>
          <w:p>
            <w:pPr>
              <w:widowControl/>
              <w:jc w:val="left"/>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财政拨款的行政单位</w:t>
            </w:r>
          </w:p>
        </w:tc>
      </w:tr>
      <w:tr>
        <w:tblPrEx>
          <w:tblW w:w="3516" w:type="pct"/>
          <w:jc w:val="center"/>
          <w:tblInd w:w="30" w:type="dxa"/>
          <w:tblCellMar>
            <w:top w:w="15" w:type="dxa"/>
            <w:left w:w="15" w:type="dxa"/>
            <w:bottom w:w="15" w:type="dxa"/>
            <w:right w:w="15" w:type="dxa"/>
          </w:tblCellMar>
        </w:tblPrEx>
        <w:trPr>
          <w:trHeight w:val="369"/>
          <w:jc w:val="center"/>
        </w:trPr>
        <w:tc>
          <w:tcPr>
            <w:tcW w:w="411" w:type="pct"/>
            <w:tcBorders>
              <w:top w:val="inset" w:color="808080" w:sz="6" w:space="0"/>
              <w:bottom w:val="inset" w:color="808080" w:sz="6" w:space="0"/>
              <w:right w:val="inset" w:color="808080" w:sz="6" w:space="0"/>
            </w:tcBorders>
            <w:noWrap w:val="false"/>
            <w:tcMar>
              <w:top w:w="22" w:type="dxa"/>
              <w:left w:w="22" w:type="dxa"/>
              <w:bottom w:w="22" w:type="dxa"/>
              <w:right w:w="22" w:type="dxa"/>
            </w:tcMar>
            <w:vAlign w:val="center"/>
            <w:hideMark/>
          </w:tcPr>
          <w:p>
            <w:pPr>
              <w:widowControl/>
              <w:jc w:val="center"/>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2</w:t>
            </w:r>
          </w:p>
        </w:tc>
        <w:tc>
          <w:tcPr>
            <w:tcW w:w="2306" w:type="pct"/>
            <w:tcBorders>
              <w:top w:val="inset" w:color="808080" w:sz="6" w:space="0"/>
              <w:left w:val="inset" w:color="808080" w:sz="6" w:space="0"/>
              <w:bottom w:val="inset" w:color="808080" w:sz="6" w:space="0"/>
              <w:right w:val="inset" w:color="808080" w:sz="6" w:space="0"/>
            </w:tcBorders>
            <w:noWrap w:val="false"/>
            <w:tcMar>
              <w:top w:w="22" w:type="dxa"/>
              <w:left w:w="22" w:type="dxa"/>
              <w:bottom w:w="22" w:type="dxa"/>
              <w:right w:w="22" w:type="dxa"/>
            </w:tcMar>
            <w:vAlign w:val="center"/>
            <w:hideMark/>
          </w:tcPr>
          <w:p>
            <w:pPr>
              <w:widowControl/>
              <w:jc w:val="left"/>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XX</w:t>
            </w:r>
          </w:p>
        </w:tc>
        <w:tc>
          <w:tcPr>
            <w:tcW w:w="2283" w:type="pct"/>
            <w:tcBorders>
              <w:top w:val="inset" w:color="808080" w:sz="6" w:space="0"/>
              <w:left w:val="inset" w:color="808080" w:sz="6" w:space="0"/>
              <w:bottom w:val="inset" w:color="808080" w:sz="6" w:space="0"/>
            </w:tcBorders>
            <w:noWrap w:val="false"/>
            <w:tcMar>
              <w:top w:w="22" w:type="dxa"/>
              <w:left w:w="22" w:type="dxa"/>
              <w:bottom w:w="22" w:type="dxa"/>
              <w:right w:w="22" w:type="dxa"/>
            </w:tcMar>
            <w:vAlign w:val="center"/>
            <w:hideMark/>
          </w:tcPr>
          <w:p>
            <w:pPr>
              <w:widowControl/>
              <w:jc w:val="left"/>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参照公务员法管理的事业单位</w:t>
            </w:r>
          </w:p>
        </w:tc>
      </w:tr>
      <w:tr>
        <w:tblPrEx>
          <w:tblW w:w="3516" w:type="pct"/>
          <w:jc w:val="center"/>
          <w:tblInd w:w="30" w:type="dxa"/>
          <w:tblCellMar>
            <w:top w:w="15" w:type="dxa"/>
            <w:left w:w="15" w:type="dxa"/>
            <w:bottom w:w="15" w:type="dxa"/>
            <w:right w:w="15" w:type="dxa"/>
          </w:tblCellMar>
        </w:tblPrEx>
        <w:trPr>
          <w:trHeight w:val="369"/>
          <w:jc w:val="center"/>
        </w:trPr>
        <w:tc>
          <w:tcPr>
            <w:tcW w:w="411" w:type="pct"/>
            <w:tcBorders>
              <w:top w:val="inset" w:color="808080" w:sz="6" w:space="0"/>
              <w:bottom w:val="inset" w:color="808080" w:sz="6" w:space="0"/>
              <w:right w:val="inset" w:color="808080" w:sz="6" w:space="0"/>
            </w:tcBorders>
            <w:noWrap w:val="false"/>
            <w:tcMar>
              <w:top w:w="22" w:type="dxa"/>
              <w:left w:w="22" w:type="dxa"/>
              <w:bottom w:w="22" w:type="dxa"/>
              <w:right w:w="22" w:type="dxa"/>
            </w:tcMar>
            <w:vAlign w:val="center"/>
            <w:hideMark/>
          </w:tcPr>
          <w:p>
            <w:pPr>
              <w:widowControl/>
              <w:jc w:val="center"/>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3</w:t>
            </w:r>
          </w:p>
        </w:tc>
        <w:tc>
          <w:tcPr>
            <w:tcW w:w="2306" w:type="pct"/>
            <w:tcBorders>
              <w:top w:val="inset" w:color="808080" w:sz="6" w:space="0"/>
              <w:left w:val="inset" w:color="808080" w:sz="6" w:space="0"/>
              <w:bottom w:val="inset" w:color="808080" w:sz="6" w:space="0"/>
              <w:right w:val="inset" w:color="808080" w:sz="6" w:space="0"/>
            </w:tcBorders>
            <w:noWrap w:val="false"/>
            <w:tcMar>
              <w:top w:w="22" w:type="dxa"/>
              <w:left w:w="22" w:type="dxa"/>
              <w:bottom w:w="22" w:type="dxa"/>
              <w:right w:w="22" w:type="dxa"/>
            </w:tcMar>
            <w:vAlign w:val="center"/>
            <w:hideMark/>
          </w:tcPr>
          <w:p>
            <w:pPr>
              <w:widowControl/>
              <w:jc w:val="left"/>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XX</w:t>
            </w:r>
          </w:p>
        </w:tc>
        <w:tc>
          <w:tcPr>
            <w:tcW w:w="2283" w:type="pct"/>
            <w:tcBorders>
              <w:top w:val="inset" w:color="808080" w:sz="6" w:space="0"/>
              <w:left w:val="inset" w:color="808080" w:sz="6" w:space="0"/>
              <w:bottom w:val="inset" w:color="808080" w:sz="6" w:space="0"/>
            </w:tcBorders>
            <w:noWrap w:val="false"/>
            <w:tcMar>
              <w:top w:w="22" w:type="dxa"/>
              <w:left w:w="22" w:type="dxa"/>
              <w:bottom w:w="22" w:type="dxa"/>
              <w:right w:w="22" w:type="dxa"/>
            </w:tcMar>
            <w:vAlign w:val="center"/>
            <w:hideMark/>
          </w:tcPr>
          <w:p>
            <w:pPr>
              <w:widowControl/>
              <w:jc w:val="left"/>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公益一类事业单位</w:t>
            </w:r>
          </w:p>
        </w:tc>
      </w:tr>
      <w:tr>
        <w:tblPrEx>
          <w:tblW w:w="3516" w:type="pct"/>
          <w:jc w:val="center"/>
          <w:tblInd w:w="30" w:type="dxa"/>
          <w:tblCellMar>
            <w:top w:w="15" w:type="dxa"/>
            <w:left w:w="15" w:type="dxa"/>
            <w:bottom w:w="15" w:type="dxa"/>
            <w:right w:w="15" w:type="dxa"/>
          </w:tblCellMar>
        </w:tblPrEx>
        <w:trPr>
          <w:trHeight w:val="369"/>
          <w:jc w:val="center"/>
        </w:trPr>
        <w:tc>
          <w:tcPr>
            <w:tcW w:w="411" w:type="pct"/>
            <w:tcBorders>
              <w:top w:val="inset" w:color="808080" w:sz="6" w:space="0"/>
              <w:right w:val="inset" w:color="808080" w:sz="6" w:space="0"/>
            </w:tcBorders>
            <w:noWrap w:val="false"/>
            <w:tcMar>
              <w:top w:w="22" w:type="dxa"/>
              <w:left w:w="22" w:type="dxa"/>
              <w:bottom w:w="22" w:type="dxa"/>
              <w:right w:w="22" w:type="dxa"/>
            </w:tcMar>
            <w:vAlign w:val="center"/>
            <w:hideMark/>
          </w:tcPr>
          <w:p>
            <w:pPr>
              <w:widowControl/>
              <w:jc w:val="center"/>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4</w:t>
            </w:r>
          </w:p>
        </w:tc>
        <w:tc>
          <w:tcPr>
            <w:tcW w:w="2306" w:type="pct"/>
            <w:tcBorders>
              <w:top w:val="inset" w:color="808080" w:sz="6" w:space="0"/>
              <w:left w:val="inset" w:color="808080" w:sz="6" w:space="0"/>
              <w:right w:val="inset" w:color="808080" w:sz="6" w:space="0"/>
            </w:tcBorders>
            <w:noWrap w:val="false"/>
            <w:tcMar>
              <w:top w:w="22" w:type="dxa"/>
              <w:left w:w="22" w:type="dxa"/>
              <w:bottom w:w="22" w:type="dxa"/>
              <w:right w:w="22" w:type="dxa"/>
            </w:tcMar>
            <w:vAlign w:val="center"/>
            <w:hideMark/>
          </w:tcPr>
          <w:p>
            <w:pPr>
              <w:widowControl/>
              <w:jc w:val="left"/>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XX</w:t>
            </w:r>
          </w:p>
        </w:tc>
        <w:tc>
          <w:tcPr>
            <w:tcW w:w="2283" w:type="pct"/>
            <w:tcBorders>
              <w:top w:val="inset" w:color="808080" w:sz="6" w:space="0"/>
              <w:left w:val="inset" w:color="808080" w:sz="6" w:space="0"/>
            </w:tcBorders>
            <w:noWrap w:val="false"/>
            <w:tcMar>
              <w:top w:w="22" w:type="dxa"/>
              <w:left w:w="22" w:type="dxa"/>
              <w:bottom w:w="22" w:type="dxa"/>
              <w:right w:w="22" w:type="dxa"/>
            </w:tcMar>
            <w:vAlign w:val="center"/>
            <w:hideMark/>
          </w:tcPr>
          <w:p>
            <w:pPr>
              <w:widowControl/>
              <w:jc w:val="left"/>
              <w:rPr>
                <w:rFonts w:ascii="Times New Roman" w:hAnsi="Times New Roman" w:eastAsia="Times New Roman" w:cs="Times New Roman"/>
                <w:b w:val="false"/>
                <w:bCs w:val="false"/>
                <w:i w:val="false"/>
                <w:iCs w:val="false"/>
                <w:smallCaps w:val="false"/>
                <w:color w:val="000000"/>
                <w:kern w:val="0"/>
                <w:sz w:val="24"/>
              </w:rPr>
            </w:pPr>
            <w:r>
              <w:rPr>
                <w:rFonts w:ascii="fang_song_gb2312" w:hAnsi="fang_song_gb2312" w:eastAsia="fang_song_gb2312" w:cs="fang_song_gb2312"/>
                <w:b w:val="false"/>
                <w:bCs w:val="false"/>
                <w:i w:val="false"/>
                <w:iCs w:val="false"/>
                <w:smallCaps w:val="false"/>
                <w:color w:val="000000"/>
                <w:kern w:val="0"/>
                <w:sz w:val="24"/>
              </w:rPr>
              <w:t>公益二类事业单位</w:t>
            </w:r>
          </w:p>
        </w:tc>
      </w:tr>
    </w:tbl>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（注：本部门（单位）决算编报单位情况需列表说明本年度纳入部门（单位）决算编报单位的名称。无下级预算单位的部门（单位），也需列表说明决算编报单位情况，否则视同未公开决算单位构成情况。）</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三、</w:t>
      </w:r>
      <w:r>
        <w:rPr>
          <w:rFonts w:ascii="SimHei" w:hAnsi="SimHei" w:eastAsia="SimHei" w:cs="SimHei"/>
          <w:b/>
          <w:bCs/>
          <w:kern w:val="0"/>
          <w:sz w:val="27"/>
          <w:szCs w:val="27"/>
        </w:rPr>
        <w:t>2023</w:t>
      </w:r>
      <w:r>
        <w:rPr>
          <w:rFonts w:ascii="SimHei" w:hAnsi="SimHei" w:eastAsia="SimHei" w:cs="SimHei"/>
          <w:b/>
          <w:bCs/>
          <w:kern w:val="0"/>
          <w:sz w:val="27"/>
          <w:szCs w:val="27"/>
        </w:rPr>
        <w:t>年度部门（单位）主要工作完成情况</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（部门（单位）根据年度工作计划及完成情况进行表述）</w:t>
      </w:r>
    </w:p>
    <w:p>
      <w:pPr>
        <w:widowControl/>
        <w:spacing w:before="240" w:after="240"/>
        <w:jc w:val="left"/>
        <w:rPr>
          <w:rFonts w:ascii="Times New Roman" w:hAnsi="Times New Roman" w:eastAsia="Times New Roman" w:cs="Times New Roman"/>
          <w:kern w:val="0"/>
          <w:sz w:val="24"/>
        </w:rPr>
      </w:pPr>
    </w:p>
    <w:p>
      <w:pPr>
        <w:pStyle w:val="Heading2"/>
        <w:keepNext w:val="false"/>
        <w:keepLines w:val="false"/>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一、收入支出决算总体情况说明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（依据“公开</w:t>
      </w:r>
      <w:r>
        <w:rPr>
          <w:rFonts w:ascii="times_new_roman" w:hAnsi="times_new_roman" w:eastAsia="times_new_roman" w:cs="times_new_roman"/>
          <w:color w:val="0E00FE"/>
          <w:kern w:val="0"/>
          <w:sz w:val="27"/>
          <w:szCs w:val="27"/>
        </w:rPr>
        <w:t>01</w:t>
      </w:r>
      <w:r>
        <w:rPr>
          <w:rFonts w:ascii="fang_song_gb2312" w:hAnsi="fang_song_gb2312" w:eastAsia="fang_song_gb2312" w:cs="fang_song_gb2312"/>
          <w:color w:val="0E00FE"/>
          <w:kern w:val="0"/>
          <w:sz w:val="27"/>
          <w:szCs w:val="27"/>
        </w:rPr>
        <w:t>表收支总表”中金额填列）</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锡林郭勒盟农牧技术推广中心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3,304.81</w:t>
      </w:r>
      <w:r>
        <w:rPr>
          <w:rFonts w:ascii="fang_song_gb2312" w:hAnsi="fang_song_gb2312" w:eastAsia="fang_song_gb2312" w:cs="fang_song_gb2312"/>
          <w:kern w:val="0"/>
          <w:sz w:val="27"/>
          <w:szCs w:val="27"/>
        </w:rPr>
        <w:t>万元。与年初预算相比，收、支总计各增加（减少）</w:t>
      </w:r>
      <w:r>
        <w:rPr>
          <w:rFonts w:ascii="times_new_roman" w:hAnsi="times_new_roman" w:eastAsia="times_new_roman" w:cs="times_new_roman"/>
          <w:kern w:val="0"/>
          <w:sz w:val="27"/>
          <w:szCs w:val="27"/>
          <w:u w:val="single"/>
        </w:rPr>
        <w:t xml:space="preserve"> 180.65</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5.78</w:t>
      </w:r>
      <w:r>
        <w:rPr>
          <w:rFonts w:ascii="fang_song_gb2312" w:hAnsi="fang_song_gb2312" w:eastAsia="fang_song_gb2312" w:cs="fang_song_gb2312"/>
          <w:kern w:val="0"/>
          <w:sz w:val="27"/>
          <w:szCs w:val="27"/>
        </w:rPr>
        <w:t>%，变动原因：……；与上年决算相比，收、支总计各增加（减少</w:t>
      </w:r>
      <w:r>
        <w:rPr>
          <w:rFonts w:ascii="times_new_roman" w:hAnsi="times_new_roman" w:eastAsia="times_new_roman" w:cs="times_new_roman"/>
          <w:kern w:val="0"/>
          <w:sz w:val="27"/>
          <w:szCs w:val="27"/>
        </w:rPr>
        <w:t>）</w:t>
      </w:r>
      <w:r>
        <w:rPr>
          <w:rFonts w:ascii="times_new_roman" w:hAnsi="times_new_roman" w:eastAsia="times_new_roman" w:cs="times_new_roman"/>
          <w:kern w:val="0"/>
          <w:sz w:val="27"/>
          <w:szCs w:val="27"/>
          <w:u w:val="single"/>
        </w:rPr>
        <w:t xml:space="preserve"> 773.23</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30.54</w:t>
      </w:r>
      <w:r>
        <w:rPr>
          <w:rFonts w:ascii="fang_song_gb2312" w:hAnsi="fang_song_gb2312" w:eastAsia="fang_song_gb2312" w:cs="fang_song_gb2312"/>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3,304.81</w:t>
      </w:r>
      <w:r>
        <w:rPr>
          <w:rFonts w:ascii="kai_ti_gb2312" w:hAnsi="kai_ti_gb2312" w:eastAsia="kai_ti_gb2312" w:cs="kai_ti_gb2312"/>
          <w:b/>
          <w:bCs/>
          <w:kern w:val="0"/>
          <w:sz w:val="27"/>
          <w:szCs w:val="27"/>
        </w:rPr>
        <w:t>万元。包括：</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3,304.77</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799.30</w:t>
      </w:r>
      <w:r>
        <w:rPr>
          <w:rFonts w:ascii="fang_song_gb2312" w:hAnsi="fang_song_gb2312" w:eastAsia="fang_song_gb2312" w:cs="fang_song_gb2312"/>
          <w:kern w:val="0"/>
          <w:sz w:val="27"/>
          <w:szCs w:val="27"/>
        </w:rPr>
        <w:t xml:space="preserve">万元，增长（减少） </w:t>
      </w:r>
      <w:r>
        <w:rPr>
          <w:rFonts w:ascii="times_new_roman" w:hAnsi="times_new_roman" w:eastAsia="times_new_roman" w:cs="times_new_roman"/>
          <w:kern w:val="0"/>
          <w:sz w:val="27"/>
          <w:szCs w:val="27"/>
          <w:u w:val="single"/>
        </w:rPr>
        <w:t>31.90</w:t>
      </w:r>
      <w:r>
        <w:rPr>
          <w:rFonts w:ascii="fang_song_gb2312" w:hAnsi="fang_song_gb2312" w:eastAsia="fang_song_gb2312" w:cs="fang_song_gb2312"/>
          <w:kern w:val="0"/>
          <w:sz w:val="27"/>
          <w:szCs w:val="27"/>
        </w:rPr>
        <w:t>%，变动原因：……。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2.使用非财政拨款结余和专用结余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%，变动原因：……。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3.年初结转和结余 </w:t>
      </w:r>
      <w:r>
        <w:rPr>
          <w:rFonts w:ascii="times_new_roman" w:hAnsi="times_new_roman" w:eastAsia="times_new_roman" w:cs="times_new_roman"/>
          <w:kern w:val="0"/>
          <w:sz w:val="27"/>
          <w:szCs w:val="27"/>
          <w:u w:val="single"/>
        </w:rPr>
        <w:t>0.04</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-26.06</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-99.84</w:t>
      </w:r>
      <w:r>
        <w:rPr>
          <w:rFonts w:ascii="fang_song_gb2312" w:hAnsi="fang_song_gb2312" w:eastAsia="fang_song_gb2312" w:cs="fang_song_gb2312"/>
          <w:kern w:val="0"/>
          <w:sz w:val="27"/>
          <w:szCs w:val="27"/>
        </w:rPr>
        <w:t>%，变动原因：……。</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3,304.81</w:t>
      </w:r>
      <w:r>
        <w:rPr>
          <w:rFonts w:ascii="kai_ti_gb2312" w:hAnsi="kai_ti_gb2312" w:eastAsia="kai_ti_gb2312" w:cs="kai_ti_gb2312"/>
          <w:b/>
          <w:bCs/>
          <w:kern w:val="0"/>
          <w:sz w:val="27"/>
          <w:szCs w:val="27"/>
        </w:rPr>
        <w:t>万元。包括：</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3,303.81</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772.27</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30.51</w:t>
      </w:r>
      <w:r>
        <w:rPr>
          <w:rFonts w:ascii="fang_song_gb2312" w:hAnsi="fang_song_gb2312" w:eastAsia="fang_song_gb2312" w:cs="fang_song_gb2312"/>
          <w:kern w:val="0"/>
          <w:sz w:val="27"/>
          <w:szCs w:val="27"/>
        </w:rPr>
        <w:t>%，变动原因：……。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2.结余分配</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万元。结余分配事项：……。与上年决算相比，增加（减少）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%，变动原因：……。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1.00</w:t>
      </w:r>
      <w:r>
        <w:rPr>
          <w:rFonts w:ascii="fang_song_gb2312" w:hAnsi="fang_song_gb2312" w:eastAsia="fang_song_gb2312" w:cs="fang_song_gb2312"/>
          <w:kern w:val="0"/>
          <w:sz w:val="27"/>
          <w:szCs w:val="27"/>
        </w:rPr>
        <w:t>万元。结转和结余事项：……。与上年决算相比，增加（减少）</w:t>
      </w:r>
      <w:r>
        <w:rPr>
          <w:rFonts w:ascii="times_new_roman" w:hAnsi="times_new_roman" w:eastAsia="times_new_roman" w:cs="times_new_roman"/>
          <w:kern w:val="0"/>
          <w:sz w:val="27"/>
          <w:szCs w:val="27"/>
          <w:u w:val="single"/>
        </w:rPr>
        <w:t xml:space="preserve"> 0.96</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2,364.57</w:t>
      </w:r>
      <w:r>
        <w:rPr>
          <w:rFonts w:ascii="fang_song_gb2312" w:hAnsi="fang_song_gb2312" w:eastAsia="fang_song_gb2312" w:cs="fang_song_gb2312"/>
          <w:kern w:val="0"/>
          <w:sz w:val="27"/>
          <w:szCs w:val="27"/>
        </w:rPr>
        <w:t>%，变动原因：……。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（该段内容根据部门（单位）实际情况，必须与上年进行比较并说明原因。为零项不得删除，主要原因说明为不存在此项内容。）</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二、收入决算情况说明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（反映部门（单位）年度总体收入决算情况）</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锡林郭勒盟农牧技术推广中心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3,304.77</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3,303.75</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99.97</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1.02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0.03</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（按照“公开</w:t>
      </w:r>
      <w:r>
        <w:rPr>
          <w:rFonts w:ascii="times_new_roman" w:hAnsi="times_new_roman" w:eastAsia="times_new_roman" w:cs="times_new_roman"/>
          <w:color w:val="0E00FE"/>
          <w:kern w:val="0"/>
          <w:sz w:val="27"/>
          <w:szCs w:val="27"/>
        </w:rPr>
        <w:t>02</w:t>
      </w:r>
      <w:r>
        <w:rPr>
          <w:rFonts w:ascii="fang_song_gb2312" w:hAnsi="fang_song_gb2312" w:eastAsia="fang_song_gb2312" w:cs="fang_song_gb2312"/>
          <w:color w:val="0E00FE"/>
          <w:kern w:val="0"/>
          <w:sz w:val="27"/>
          <w:szCs w:val="27"/>
        </w:rPr>
        <w:t>表收入支出决算总表”分析填列，收入分项金额总计应等于合计金额，占比合计</w:t>
      </w:r>
      <w:r>
        <w:rPr>
          <w:rFonts w:ascii="times_new_roman" w:hAnsi="times_new_roman" w:eastAsia="times_new_roman" w:cs="times_new_roman"/>
          <w:color w:val="0E00FE"/>
          <w:kern w:val="0"/>
          <w:sz w:val="27"/>
          <w:szCs w:val="27"/>
        </w:rPr>
        <w:t>100%</w:t>
      </w:r>
      <w:r>
        <w:rPr>
          <w:rFonts w:ascii="fang_song_gb2312" w:hAnsi="fang_song_gb2312" w:eastAsia="fang_song_gb2312" w:cs="fang_song_gb2312"/>
          <w:color w:val="0E00FE"/>
          <w:kern w:val="0"/>
          <w:sz w:val="27"/>
          <w:szCs w:val="27"/>
        </w:rPr>
        <w:t>，</w:t>
      </w:r>
      <w:r>
        <w:rPr>
          <w:rFonts w:ascii="fang_song_gb2312" w:hAnsi="fang_song_gb2312" w:eastAsia="fang_song_gb2312" w:cs="fang_song_gb2312"/>
          <w:kern w:val="0"/>
          <w:sz w:val="27"/>
          <w:szCs w:val="27"/>
        </w:rPr>
        <w:t>为零项不得删除。</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r>
        <w:rPr>
          <w:rFonts w:ascii="fang_song_gb2312" w:hAnsi="fang_song_gb2312" w:eastAsia="fang_song_gb2312" w:cs="fang_song_gb2312"/>
          <w:color w:val="0E00FE"/>
          <w:kern w:val="0"/>
          <w:sz w:val="27"/>
          <w:szCs w:val="27"/>
        </w:rPr>
        <w:t>（以饼图列示）</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三、支出决算情况说明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（反映部门（单位）年度总体支出决算情况）</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锡林郭勒盟农牧技术推广中心 2023年度本年支出决算合计</w:t>
      </w:r>
      <w:r>
        <w:rPr>
          <w:rFonts w:ascii="times_new_roman" w:hAnsi="times_new_roman" w:eastAsia="times_new_roman" w:cs="times_new_roman"/>
          <w:kern w:val="0"/>
          <w:sz w:val="27"/>
          <w:szCs w:val="27"/>
          <w:u w:val="single"/>
        </w:rPr>
        <w:t xml:space="preserve"> 3,303.81</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2,270.52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68.72</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1,033.28</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31.28</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（按照“公开03表支出决算表”分析填列，支出分项金额总计等于合计金额，占比合计</w:t>
      </w:r>
      <w:r>
        <w:rPr>
          <w:rFonts w:ascii="times_new_roman" w:hAnsi="times_new_roman" w:eastAsia="times_new_roman" w:cs="times_new_roman"/>
          <w:color w:val="0E00FE"/>
          <w:kern w:val="0"/>
          <w:sz w:val="27"/>
          <w:szCs w:val="27"/>
        </w:rPr>
        <w:t>100</w:t>
      </w:r>
      <w:r>
        <w:rPr>
          <w:rFonts w:ascii="fang_song_gb2312" w:hAnsi="fang_song_gb2312" w:eastAsia="fang_song_gb2312" w:cs="fang_song_gb2312"/>
          <w:color w:val="0E00FE"/>
          <w:kern w:val="0"/>
          <w:sz w:val="27"/>
          <w:szCs w:val="27"/>
        </w:rPr>
        <w:t>%，</w:t>
      </w:r>
      <w:r>
        <w:rPr>
          <w:rFonts w:ascii="fang_song_gb2312" w:hAnsi="fang_song_gb2312" w:eastAsia="fang_song_gb2312" w:cs="fang_song_gb2312"/>
          <w:kern w:val="0"/>
          <w:sz w:val="27"/>
          <w:szCs w:val="27"/>
        </w:rPr>
        <w:t>为零项不得删除。</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图2.支出决算图</w:t>
      </w:r>
      <w:r>
        <w:rPr>
          <w:rFonts w:ascii="fang_song_gb2312" w:hAnsi="fang_song_gb2312" w:eastAsia="fang_song_gb2312" w:cs="fang_song_gb2312"/>
          <w:color w:val="0E00FE"/>
          <w:kern w:val="0"/>
          <w:sz w:val="27"/>
          <w:szCs w:val="27"/>
        </w:rPr>
        <w:t>（以饼图列示）</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（反映部门（单位）年度财政拨款总体收支决算情况。财政拨款收入数、支出数应与“公开</w:t>
      </w:r>
      <w:r>
        <w:rPr>
          <w:rFonts w:ascii="times_new_roman" w:hAnsi="times_new_roman" w:eastAsia="times_new_roman" w:cs="times_new_roman"/>
          <w:color w:val="0E00FE"/>
          <w:kern w:val="0"/>
          <w:sz w:val="27"/>
          <w:szCs w:val="27"/>
        </w:rPr>
        <w:t>04</w:t>
      </w:r>
      <w:r>
        <w:rPr>
          <w:rFonts w:ascii="fang_song_gb2312" w:hAnsi="fang_song_gb2312" w:eastAsia="fang_song_gb2312" w:cs="fang_song_gb2312"/>
          <w:color w:val="0E00FE"/>
          <w:kern w:val="0"/>
          <w:sz w:val="27"/>
          <w:szCs w:val="27"/>
        </w:rPr>
        <w:t>表财政拨款收入支出决算总表”数对应一致。）</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锡林郭勒盟农牧技术推广中心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3,303.75</w:t>
      </w:r>
      <w:r>
        <w:rPr>
          <w:rFonts w:ascii="fang_song_gb2312" w:hAnsi="fang_song_gb2312" w:eastAsia="fang_song_gb2312" w:cs="fang_song_gb2312"/>
          <w:kern w:val="0"/>
          <w:sz w:val="27"/>
          <w:szCs w:val="27"/>
        </w:rPr>
        <w:t>万元，与年初预算相比，收、支总计各增加（减少）</w:t>
      </w:r>
      <w:r>
        <w:rPr>
          <w:rFonts w:ascii="times_new_roman" w:hAnsi="times_new_roman" w:eastAsia="times_new_roman" w:cs="times_new_roman"/>
          <w:kern w:val="0"/>
          <w:sz w:val="27"/>
          <w:szCs w:val="27"/>
          <w:u w:val="single"/>
        </w:rPr>
        <w:t xml:space="preserve"> 179.59</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5.75</w:t>
      </w:r>
      <w:r>
        <w:rPr>
          <w:rFonts w:ascii="fang_song_gb2312" w:hAnsi="fang_song_gb2312" w:eastAsia="fang_song_gb2312" w:cs="fang_song_gb2312"/>
          <w:kern w:val="0"/>
          <w:sz w:val="27"/>
          <w:szCs w:val="27"/>
        </w:rPr>
        <w:t>%，变动原因：……；与上年决算相比，收、支总计各增加（减少）</w:t>
      </w:r>
      <w:r>
        <w:rPr>
          <w:rFonts w:ascii="times_new_roman" w:hAnsi="times_new_roman" w:eastAsia="times_new_roman" w:cs="times_new_roman"/>
          <w:kern w:val="0"/>
          <w:sz w:val="27"/>
          <w:szCs w:val="27"/>
          <w:u w:val="single"/>
        </w:rPr>
        <w:t xml:space="preserve"> 772.74</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30.53</w:t>
      </w:r>
      <w:r>
        <w:rPr>
          <w:rFonts w:ascii="fang_song_gb2312" w:hAnsi="fang_song_gb2312" w:eastAsia="fang_song_gb2312" w:cs="fang_song_gb2312"/>
          <w:kern w:val="0"/>
          <w:sz w:val="27"/>
          <w:szCs w:val="27"/>
        </w:rPr>
        <w:t>%，变动原因：……。</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五、一般公共预算财政拨款支出决算情况说明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（反映部门（单位）年度一般公共预算财政拨款支出决算情况。按照“公开</w:t>
      </w:r>
      <w:r>
        <w:rPr>
          <w:rFonts w:ascii="times_new_roman" w:hAnsi="times_new_roman" w:eastAsia="times_new_roman" w:cs="times_new_roman"/>
          <w:color w:val="0E00FE"/>
          <w:kern w:val="0"/>
          <w:sz w:val="27"/>
          <w:szCs w:val="27"/>
        </w:rPr>
        <w:t>06</w:t>
      </w:r>
      <w:r>
        <w:rPr>
          <w:rFonts w:ascii="fang_song_gb2312" w:hAnsi="fang_song_gb2312" w:eastAsia="fang_song_gb2312" w:cs="fang_song_gb2312"/>
          <w:color w:val="0E00FE"/>
          <w:kern w:val="0"/>
          <w:sz w:val="27"/>
          <w:szCs w:val="27"/>
        </w:rPr>
        <w:t>表一般公共预算财政拨款支出决算表”中的功能分类“项”级科目，结合本部门（单位）同一年度部门（单位）预算“公开</w:t>
      </w:r>
      <w:r>
        <w:rPr>
          <w:rFonts w:ascii="times_new_roman" w:hAnsi="times_new_roman" w:eastAsia="times_new_roman" w:cs="times_new_roman"/>
          <w:color w:val="0E00FE"/>
          <w:kern w:val="0"/>
          <w:sz w:val="27"/>
          <w:szCs w:val="27"/>
        </w:rPr>
        <w:t>05</w:t>
      </w:r>
      <w:r>
        <w:rPr>
          <w:rFonts w:ascii="fang_song_gb2312" w:hAnsi="fang_song_gb2312" w:eastAsia="fang_song_gb2312" w:cs="fang_song_gb2312"/>
          <w:color w:val="0E00FE"/>
          <w:kern w:val="0"/>
          <w:sz w:val="27"/>
          <w:szCs w:val="27"/>
        </w:rPr>
        <w:t>表一般公共预算支出表”对应情况，对年度涉及支出功能分类科目类、款、项情况进行说明，并说明与预算差异情况。说明模板仅作展示举例，单位要将未使用科目删除，同时检查序号是否连续。）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一般公共预算既包括使用本年从本级财政取得的财政拨款发生的支出，也包括使用上年度财政拨款结转资金发生的支出。</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锡林郭勒盟农牧技术推广中心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3,303.75</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3,124.15</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105.75</w:t>
      </w:r>
      <w:r>
        <w:rPr>
          <w:rFonts w:ascii="fang_song_gb2312" w:hAnsi="fang_song_gb2312" w:eastAsia="fang_song_gb2312" w:cs="fang_song_gb2312"/>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（一）一般公共服务（类）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一般公共服务类决算数为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1．人大事务（款）行政运行（项）。年初预算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万元，完成年初预算的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%。决算数与年初预算数的差异原因：……。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（二）公共安全（类）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公共安全类决算数为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1．公安（款）行政运行（项）。年初预算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万元，完成年初预算的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%。决算数与年初预算数的差异原因：……。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（三）社会保障和就业支出（类）</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371.08</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21.42</w:t>
      </w:r>
      <w:r>
        <w:rPr>
          <w:rFonts w:ascii="fang_song_gb2312" w:hAnsi="fang_song_gb2312" w:eastAsia="fang_song_gb2312" w:cs="fang_song_gb2312"/>
          <w:kern w:val="0"/>
          <w:sz w:val="27"/>
          <w:szCs w:val="27"/>
        </w:rPr>
        <w:t>万元。其中：</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行政事业单位养老支出（款）行政单位离退休（项）。年初预算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万元，完成年初预算的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%。决算数与年初预算数的差异原因：……。</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ascii="fang_song_gb2312" w:hAnsi="fang_song_gb2312" w:eastAsia="fang_song_gb2312" w:cs="fang_song_gb2312"/>
          <w:kern w:val="0"/>
          <w:sz w:val="27"/>
          <w:szCs w:val="27"/>
        </w:rPr>
        <w:t>行政事业单位养老支出（款）事业单位离退休（项）。年初预算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万元，完成年初预算的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%。决算数与年初预算数的差异原因：……。</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3．</w:t>
      </w:r>
      <w:r>
        <w:rPr>
          <w:rFonts w:ascii="fang_song_gb2312" w:hAnsi="fang_song_gb2312" w:eastAsia="fang_song_gb2312" w:cs="fang_song_gb2312"/>
          <w:kern w:val="0"/>
          <w:sz w:val="27"/>
          <w:szCs w:val="27"/>
        </w:rPr>
        <w:t>行政事业单位养老支出（款）机关事业单位基本养老保险缴费支出（项）。年初预算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万元，完成年初预算的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%。决算数与年初预算数的差异原因：……。</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4．</w:t>
      </w:r>
      <w:r>
        <w:rPr>
          <w:rFonts w:ascii="fang_song_gb2312" w:hAnsi="fang_song_gb2312" w:eastAsia="fang_song_gb2312" w:cs="fang_song_gb2312"/>
          <w:kern w:val="0"/>
          <w:sz w:val="27"/>
          <w:szCs w:val="27"/>
        </w:rPr>
        <w:t>行政事业单位养老支出（款）机关事业单位职业年金缴费支出（项）。年初预算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万元，完成年初预算的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%。决算数与年初预算数的差异原因：……。</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（四）卫生健康支出（类）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161.22</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-24.18</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行政事业单位医疗（款）行政单位医疗（项）。年初预算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万元，完成年初预算的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%。决算数与年初预算数的差异原因：……。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ascii="fang_song_gb2312" w:hAnsi="fang_song_gb2312" w:eastAsia="fang_song_gb2312" w:cs="fang_song_gb2312"/>
          <w:kern w:val="0"/>
          <w:sz w:val="27"/>
          <w:szCs w:val="27"/>
        </w:rPr>
        <w:t>行政事业单位医疗（款）事业单位医疗（项）。年初预算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万元，完成年初预算的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%。决算数与年初预算数的差异原因：……。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3．</w:t>
      </w:r>
      <w:r>
        <w:rPr>
          <w:rFonts w:ascii="fang_song_gb2312" w:hAnsi="fang_song_gb2312" w:eastAsia="fang_song_gb2312" w:cs="fang_song_gb2312"/>
          <w:kern w:val="0"/>
          <w:sz w:val="27"/>
          <w:szCs w:val="27"/>
        </w:rPr>
        <w:t>行政事业单位医疗（款）公务员医疗补助（项）。年初预算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万元，完成年初预算的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%。决算数与年初预算数的差异原因：……。</w:t>
      </w: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（五）住房保障支出（类）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154.31</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-14.03</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万元，完成年初预算的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%。决算数与年初预算数的差异原因：……。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六、一般公共预算财政拨款基本支出决算情况说明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（反映部门（单位）年度一般公共预算财政拨款基本支出决算情况）</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锡林郭勒盟农牧技术推广中心 2023年度一般公共预算财政拨款基本支出决算</w:t>
      </w:r>
      <w:r>
        <w:rPr>
          <w:rFonts w:ascii="times_new_roman" w:hAnsi="times_new_roman" w:eastAsia="times_new_roman" w:cs="times_new_roman"/>
          <w:kern w:val="0"/>
          <w:sz w:val="27"/>
          <w:szCs w:val="27"/>
          <w:u w:val="single"/>
        </w:rPr>
        <w:t xml:space="preserve"> 2,270.46</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2,137.82</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津贴补贴、奖金、社会保障缴费、伙食补助费、绩效工资、其他工资福利支出、离休费、退休费、抚恤金、生活补助、医疗费、奖励金、住房公积金、提租补贴、其他对个人和家庭的补助支出等。</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（按“公开06表一般公共预算财政拨款基本支出决算明细表”中经济分类支出事项填写）</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132.64</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等。</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（按“公开</w:t>
      </w:r>
      <w:r>
        <w:rPr>
          <w:rFonts w:ascii="times_new_roman" w:hAnsi="times_new_roman" w:eastAsia="times_new_roman" w:cs="times_new_roman"/>
          <w:color w:val="0E00FE"/>
          <w:kern w:val="0"/>
          <w:sz w:val="27"/>
          <w:szCs w:val="27"/>
        </w:rPr>
        <w:t>06</w:t>
      </w:r>
      <w:r>
        <w:rPr>
          <w:rFonts w:ascii="fang_song_gb2312" w:hAnsi="fang_song_gb2312" w:eastAsia="fang_song_gb2312" w:cs="fang_song_gb2312"/>
          <w:color w:val="0E00FE"/>
          <w:kern w:val="0"/>
          <w:sz w:val="27"/>
          <w:szCs w:val="27"/>
        </w:rPr>
        <w:t>表一般公共预算财政拨款基本支出决算明细表”中经济分类支出事项填写）</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七、一般公共预算财政拨款项目支出决算情况说明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（反映部门（单位）年度一般公共预算财政拨款项目支出决算情况）</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锡林郭勒盟农牧技术推广中心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1,033.28</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（一）工资福利支出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津贴补贴、奖金、伙食补助费、绩效工资、机关事业单位基本养老保险缴费、职业年金缴费、职工基本医疗保险缴费、公务员医疗补助缴费、其他社会保障缴费、住房公积金、医疗费、其他工资福利支出等。</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（二）商品和服务支出</w:t>
      </w:r>
      <w:r>
        <w:rPr>
          <w:rFonts w:ascii="times_new_roman" w:hAnsi="times_new_roman" w:eastAsia="times_new_roman" w:cs="times_new_roman"/>
          <w:kern w:val="0"/>
          <w:sz w:val="27"/>
          <w:szCs w:val="27"/>
          <w:u w:val="single"/>
        </w:rPr>
        <w:t xml:space="preserve"> 1,022.58</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（按“公开</w:t>
      </w:r>
      <w:r>
        <w:rPr>
          <w:rFonts w:ascii="times_new_roman" w:hAnsi="times_new_roman" w:eastAsia="times_new_roman" w:cs="times_new_roman"/>
          <w:color w:val="0E00FE"/>
          <w:kern w:val="0"/>
          <w:sz w:val="27"/>
          <w:szCs w:val="27"/>
        </w:rPr>
        <w:t>07</w:t>
      </w:r>
      <w:r>
        <w:rPr>
          <w:rFonts w:ascii="fang_song_gb2312" w:hAnsi="fang_song_gb2312" w:eastAsia="fang_song_gb2312" w:cs="fang_song_gb2312"/>
          <w:color w:val="0E00FE"/>
          <w:kern w:val="0"/>
          <w:sz w:val="27"/>
          <w:szCs w:val="27"/>
        </w:rPr>
        <w:t>表一般公共预算财政拨款项目支出决算明细表”中经济分类支出事项填写；当项目开支人员经费时，应对开支人员经费的特殊事项予以说明）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八、</w:t>
      </w:r>
      <w:r>
        <w:rPr>
          <w:rFonts w:ascii="SimHei" w:hAnsi="SimHei" w:eastAsia="SimHei" w:cs="SimHei"/>
          <w:b/>
          <w:bCs/>
          <w:kern w:val="0"/>
          <w:sz w:val="27"/>
          <w:szCs w:val="27"/>
        </w:rPr>
        <w:t>财政拨款</w:t>
      </w:r>
      <w:r>
        <w:rPr>
          <w:rFonts w:ascii="SimHei" w:hAnsi="SimHei" w:eastAsia="SimHei" w:cs="SimHei"/>
          <w:b/>
          <w:bCs/>
          <w:kern w:val="0"/>
          <w:sz w:val="27"/>
          <w:szCs w:val="27"/>
        </w:rPr>
        <w:t>“</w:t>
      </w:r>
      <w:r>
        <w:rPr>
          <w:rFonts w:ascii="SimHei" w:hAnsi="SimHei" w:eastAsia="SimHei" w:cs="SimHei"/>
          <w:b/>
          <w:bCs/>
          <w:kern w:val="0"/>
          <w:sz w:val="27"/>
          <w:szCs w:val="27"/>
        </w:rPr>
        <w:t>三公</w:t>
      </w:r>
      <w:r>
        <w:rPr>
          <w:rFonts w:ascii="SimHei" w:hAnsi="SimHei" w:eastAsia="SimHei" w:cs="SimHei"/>
          <w:b/>
          <w:bCs/>
          <w:kern w:val="0"/>
          <w:sz w:val="27"/>
          <w:szCs w:val="27"/>
        </w:rPr>
        <w:t>”</w:t>
      </w:r>
      <w:r>
        <w:rPr>
          <w:rFonts w:ascii="SimHei" w:hAnsi="SimHei" w:eastAsia="SimHei" w:cs="SimHei"/>
          <w:b/>
          <w:bCs/>
          <w:kern w:val="0"/>
          <w:sz w:val="27"/>
          <w:szCs w:val="27"/>
        </w:rPr>
        <w:t>经费支出决算情况说明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（反映部门（单位）年度财政拨款“三公”经费决算情况）</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w:t>
      </w:r>
      <w:r>
        <w:rPr>
          <w:rFonts w:ascii="kai_ti_gb2312" w:hAnsi="kai_ti_gb2312" w:eastAsia="kai_ti_gb2312" w:cs="kai_ti_gb2312"/>
          <w:b/>
          <w:bCs/>
          <w:kern w:val="0"/>
          <w:sz w:val="27"/>
          <w:szCs w:val="27"/>
        </w:rPr>
        <w:t>“</w:t>
      </w:r>
      <w:r>
        <w:rPr>
          <w:rFonts w:ascii="kai_ti_gb2312" w:hAnsi="kai_ti_gb2312" w:eastAsia="kai_ti_gb2312" w:cs="kai_ti_gb2312"/>
          <w:b/>
          <w:bCs/>
          <w:kern w:val="0"/>
          <w:sz w:val="27"/>
          <w:szCs w:val="27"/>
        </w:rPr>
        <w:t>三公</w:t>
      </w:r>
      <w:r>
        <w:rPr>
          <w:rFonts w:ascii="kai_ti_gb2312" w:hAnsi="kai_ti_gb2312" w:eastAsia="kai_ti_gb2312" w:cs="kai_ti_gb2312"/>
          <w:b/>
          <w:bCs/>
          <w:kern w:val="0"/>
          <w:sz w:val="27"/>
          <w:szCs w:val="27"/>
        </w:rPr>
        <w:t>”</w:t>
      </w:r>
      <w:r>
        <w:rPr>
          <w:rFonts w:ascii="kai_ti_gb2312" w:hAnsi="kai_ti_gb2312" w:eastAsia="kai_ti_gb2312" w:cs="kai_ti_gb2312"/>
          <w:b/>
          <w:bCs/>
          <w:kern w:val="0"/>
          <w:sz w:val="27"/>
          <w:szCs w:val="27"/>
        </w:rPr>
        <w:t>经费支出总体情况说明。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锡林郭勒盟农牧技术推广中心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64.81</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32.23</w:t>
      </w:r>
      <w:r>
        <w:rPr>
          <w:rFonts w:ascii="fang_song_gb2312" w:hAnsi="fang_song_gb2312" w:eastAsia="fang_song_gb2312" w:cs="fang_song_gb2312"/>
          <w:kern w:val="0"/>
          <w:sz w:val="27"/>
          <w:szCs w:val="27"/>
        </w:rPr>
        <w:t>万元，完成预算的</w:t>
      </w:r>
      <w:r>
        <w:rPr>
          <w:rFonts w:ascii="fang_song_gb2312" w:hAnsi="fang_song_gb2312" w:eastAsia="fang_song_gb2312" w:cs="fang_song_gb2312"/>
          <w:kern w:val="0"/>
          <w:sz w:val="27"/>
          <w:szCs w:val="27"/>
          <w:u w:val="single"/>
        </w:rPr>
        <w:t xml:space="preserve"> 49.73</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64.32</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31.74</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49.35</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0.49</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0.49</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%。2023年度一般公共预算财政拨款“三公”经费支出决算与预算差异原因……。</w:t>
      </w:r>
      <w:r>
        <w:rPr>
          <w:rFonts w:ascii="fang_song_gb2312" w:hAnsi="fang_song_gb2312" w:eastAsia="fang_song_gb2312" w:cs="fang_song_gb2312"/>
          <w:color w:val="0E00FE"/>
          <w:kern w:val="0"/>
          <w:sz w:val="27"/>
          <w:szCs w:val="27"/>
        </w:rPr>
        <w:t>（也可以分项说明差异原因）</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w:t>
      </w:r>
      <w:r>
        <w:rPr>
          <w:rFonts w:ascii="kai_ti_gb2312" w:hAnsi="kai_ti_gb2312" w:eastAsia="kai_ti_gb2312" w:cs="kai_ti_gb2312"/>
          <w:b/>
          <w:bCs/>
          <w:kern w:val="0"/>
          <w:sz w:val="27"/>
          <w:szCs w:val="27"/>
        </w:rPr>
        <w:t>“</w:t>
      </w:r>
      <w:r>
        <w:rPr>
          <w:rFonts w:ascii="kai_ti_gb2312" w:hAnsi="kai_ti_gb2312" w:eastAsia="kai_ti_gb2312" w:cs="kai_ti_gb2312"/>
          <w:b/>
          <w:bCs/>
          <w:kern w:val="0"/>
          <w:sz w:val="27"/>
          <w:szCs w:val="27"/>
        </w:rPr>
        <w:t>三公</w:t>
      </w:r>
      <w:r>
        <w:rPr>
          <w:rFonts w:ascii="kai_ti_gb2312" w:hAnsi="kai_ti_gb2312" w:eastAsia="kai_ti_gb2312" w:cs="kai_ti_gb2312"/>
          <w:b/>
          <w:bCs/>
          <w:kern w:val="0"/>
          <w:sz w:val="27"/>
          <w:szCs w:val="27"/>
        </w:rPr>
        <w:t>”</w:t>
      </w:r>
      <w:r>
        <w:rPr>
          <w:rFonts w:ascii="kai_ti_gb2312" w:hAnsi="kai_ti_gb2312" w:eastAsia="kai_ti_gb2312" w:cs="kai_ti_gb2312"/>
          <w:b/>
          <w:bCs/>
          <w:kern w:val="0"/>
          <w:sz w:val="27"/>
          <w:szCs w:val="27"/>
        </w:rPr>
        <w:t>经费支出具体情况说明。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锡林郭勒盟农牧技术推广中心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32.23</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31.74</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98.47</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0.49</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1.53</w:t>
      </w:r>
      <w:r>
        <w:rPr>
          <w:rFonts w:ascii="fang_song_gb2312" w:hAnsi="fang_song_gb2312" w:eastAsia="fang_song_gb2312" w:cs="fang_song_gb2312"/>
          <w:kern w:val="0"/>
          <w:sz w:val="27"/>
          <w:szCs w:val="27"/>
        </w:rPr>
        <w:t>%。其中：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%，变动原因：……。</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31.74</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辆，开支内容：……。与上年决算相比，增加（减少）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%，变动原因：……。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31.74</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4 </w:t>
      </w:r>
      <w:r>
        <w:rPr>
          <w:rFonts w:ascii="fang_song_gb2312" w:hAnsi="fang_song_gb2312" w:eastAsia="fang_song_gb2312" w:cs="fang_song_gb2312"/>
          <w:kern w:val="0"/>
          <w:sz w:val="27"/>
          <w:szCs w:val="27"/>
        </w:rPr>
        <w:t>辆。与上年决算相比，增加（减少）</w:t>
      </w:r>
      <w:r>
        <w:rPr>
          <w:rFonts w:ascii="fang_song_gb2312" w:hAnsi="fang_song_gb2312" w:eastAsia="fang_song_gb2312" w:cs="fang_song_gb2312"/>
          <w:kern w:val="0"/>
          <w:sz w:val="27"/>
          <w:szCs w:val="27"/>
          <w:u w:val="single"/>
        </w:rPr>
        <w:t xml:space="preserve"> </w:t>
      </w:r>
      <w:r>
        <w:rPr>
          <w:rFonts w:ascii="times_new_roman" w:hAnsi="times_new_roman" w:eastAsia="times_new_roman" w:cs="times_new_roman"/>
          <w:kern w:val="0"/>
          <w:sz w:val="27"/>
          <w:szCs w:val="27"/>
          <w:u w:val="single"/>
        </w:rPr>
        <w:t>10.77</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51.38</w:t>
      </w:r>
      <w:r>
        <w:rPr>
          <w:rFonts w:ascii="fang_song_gb2312" w:hAnsi="fang_song_gb2312" w:eastAsia="fang_song_gb2312" w:cs="fang_song_gb2312"/>
          <w:kern w:val="0"/>
          <w:sz w:val="27"/>
          <w:szCs w:val="27"/>
        </w:rPr>
        <w:t>%，变动原因：……。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0.49</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0.49</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7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46 </w:t>
      </w:r>
      <w:r>
        <w:rPr>
          <w:rFonts w:ascii="fang_song_gb2312" w:hAnsi="fang_song_gb2312" w:eastAsia="fang_song_gb2312" w:cs="fang_song_gb2312"/>
          <w:kern w:val="0"/>
          <w:sz w:val="27"/>
          <w:szCs w:val="27"/>
        </w:rPr>
        <w:t>人次，开支内容：……；国（境）外公务接待支出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人次，开支内容：……。与上年决算相比，增加（减少）</w:t>
      </w:r>
      <w:r>
        <w:rPr>
          <w:rFonts w:ascii="times_new_roman" w:hAnsi="times_new_roman" w:eastAsia="times_new_roman" w:cs="times_new_roman"/>
          <w:kern w:val="0"/>
          <w:sz w:val="27"/>
          <w:szCs w:val="27"/>
          <w:u w:val="single"/>
        </w:rPr>
        <w:t xml:space="preserve"> 0.49</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Infinity</w:t>
      </w:r>
      <w:r>
        <w:rPr>
          <w:rFonts w:ascii="fang_song_gb2312" w:hAnsi="fang_song_gb2312" w:eastAsia="fang_song_gb2312" w:cs="fang_song_gb2312"/>
          <w:kern w:val="0"/>
          <w:sz w:val="27"/>
          <w:szCs w:val="27"/>
        </w:rPr>
        <w:t>%，变动原因：……。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（按“公开</w:t>
      </w:r>
      <w:r>
        <w:rPr>
          <w:rFonts w:ascii="times_new_roman" w:hAnsi="times_new_roman" w:eastAsia="times_new_roman" w:cs="times_new_roman"/>
          <w:color w:val="0E00FE"/>
          <w:kern w:val="0"/>
          <w:sz w:val="27"/>
          <w:szCs w:val="27"/>
        </w:rPr>
        <w:t>10</w:t>
      </w:r>
      <w:r>
        <w:rPr>
          <w:rFonts w:ascii="fang_song_gb2312" w:hAnsi="fang_song_gb2312" w:eastAsia="fang_song_gb2312" w:cs="fang_song_gb2312"/>
          <w:color w:val="0E00FE"/>
          <w:kern w:val="0"/>
          <w:sz w:val="27"/>
          <w:szCs w:val="27"/>
        </w:rPr>
        <w:t>表财政拨款“三公”经费支出决算表”中支出金额及数额填写）</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特别强调</w:t>
      </w:r>
      <w:r>
        <w:rPr>
          <w:rFonts w:ascii="times_new_roman" w:hAnsi="times_new_roman" w:eastAsia="times_new_roman" w:cs="times_new_roman"/>
          <w:color w:val="0E00FE"/>
          <w:kern w:val="0"/>
          <w:sz w:val="27"/>
          <w:szCs w:val="27"/>
        </w:rPr>
        <w:t>1</w:t>
      </w:r>
      <w:r>
        <w:rPr>
          <w:rFonts w:ascii="fang_song_gb2312" w:hAnsi="fang_song_gb2312" w:eastAsia="fang_song_gb2312" w:cs="fang_song_gb2312"/>
          <w:color w:val="0E00FE"/>
          <w:kern w:val="0"/>
          <w:sz w:val="27"/>
          <w:szCs w:val="27"/>
        </w:rPr>
        <w:t>：上述数据逻辑要合理，例如国内公务接待支出有数额时，接待批次要有数量，同时要有接待人次。</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特别强调</w:t>
      </w:r>
      <w:r>
        <w:rPr>
          <w:rFonts w:ascii="times_new_roman" w:hAnsi="times_new_roman" w:eastAsia="times_new_roman" w:cs="times_new_roman"/>
          <w:color w:val="0E00FE"/>
          <w:kern w:val="0"/>
          <w:sz w:val="27"/>
          <w:szCs w:val="27"/>
        </w:rPr>
        <w:t>2</w:t>
      </w:r>
      <w:r>
        <w:rPr>
          <w:rFonts w:ascii="fang_song_gb2312" w:hAnsi="fang_song_gb2312" w:eastAsia="fang_song_gb2312" w:cs="fang_song_gb2312"/>
          <w:color w:val="0E00FE"/>
          <w:kern w:val="0"/>
          <w:sz w:val="27"/>
          <w:szCs w:val="27"/>
        </w:rPr>
        <w:t>：“三公”经费如合计为零也要分别填列说明。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特别强调</w:t>
      </w:r>
      <w:r>
        <w:rPr>
          <w:rFonts w:ascii="times_new_roman" w:hAnsi="times_new_roman" w:eastAsia="times_new_roman" w:cs="times_new_roman"/>
          <w:color w:val="0E00FE"/>
          <w:kern w:val="0"/>
          <w:sz w:val="27"/>
          <w:szCs w:val="27"/>
        </w:rPr>
        <w:t>3</w:t>
      </w:r>
      <w:r>
        <w:rPr>
          <w:rFonts w:ascii="fang_song_gb2312" w:hAnsi="fang_song_gb2312" w:eastAsia="fang_song_gb2312" w:cs="fang_song_gb2312"/>
          <w:color w:val="0E00FE"/>
          <w:kern w:val="0"/>
          <w:sz w:val="27"/>
          <w:szCs w:val="27"/>
        </w:rPr>
        <w:t>：报告数据要与报表保持一致。例如“公务用车保有量”、“公务用车购置数”等。</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特别强调</w:t>
      </w:r>
      <w:r>
        <w:rPr>
          <w:rFonts w:ascii="times_new_roman" w:hAnsi="times_new_roman" w:eastAsia="times_new_roman" w:cs="times_new_roman"/>
          <w:color w:val="0E00FE"/>
          <w:kern w:val="0"/>
          <w:sz w:val="27"/>
          <w:szCs w:val="27"/>
        </w:rPr>
        <w:t>4</w:t>
      </w:r>
      <w:r>
        <w:rPr>
          <w:rFonts w:ascii="fang_song_gb2312" w:hAnsi="fang_song_gb2312" w:eastAsia="fang_song_gb2312" w:cs="fang_song_gb2312"/>
          <w:color w:val="0E00FE"/>
          <w:kern w:val="0"/>
          <w:sz w:val="27"/>
          <w:szCs w:val="27"/>
        </w:rPr>
        <w:t>：“公开10表财政拨款“三公”经费支出决算表”中一般公共预算财政拨款“三公”经费支出的年初预算数（第</w:t>
      </w:r>
      <w:r>
        <w:rPr>
          <w:rFonts w:ascii="times_new_roman" w:hAnsi="times_new_roman" w:eastAsia="times_new_roman" w:cs="times_new_roman"/>
          <w:color w:val="0E00FE"/>
          <w:kern w:val="0"/>
          <w:sz w:val="27"/>
          <w:szCs w:val="27"/>
        </w:rPr>
        <w:t>4</w:t>
      </w:r>
      <w:r>
        <w:rPr>
          <w:rFonts w:ascii="fang_song_gb2312" w:hAnsi="fang_song_gb2312" w:eastAsia="fang_song_gb2312" w:cs="fang_song_gb2312"/>
          <w:color w:val="0E00FE"/>
          <w:kern w:val="0"/>
          <w:sz w:val="27"/>
          <w:szCs w:val="27"/>
        </w:rPr>
        <w:t>列）、全年预算数</w:t>
      </w:r>
      <w:r>
        <w:rPr>
          <w:rFonts w:ascii="fang_song_gb2312" w:hAnsi="fang_song_gb2312" w:eastAsia="fang_song_gb2312" w:cs="fang_song_gb2312"/>
          <w:kern w:val="0"/>
          <w:sz w:val="27"/>
          <w:szCs w:val="27"/>
        </w:rPr>
        <w:t>（第</w:t>
      </w:r>
      <w:r>
        <w:rPr>
          <w:rFonts w:ascii="times_new_roman" w:hAnsi="times_new_roman" w:eastAsia="times_new_roman" w:cs="times_new_roman"/>
          <w:kern w:val="0"/>
          <w:sz w:val="27"/>
          <w:szCs w:val="27"/>
        </w:rPr>
        <w:t>5</w:t>
      </w:r>
      <w:r>
        <w:rPr>
          <w:rFonts w:ascii="fang_song_gb2312" w:hAnsi="fang_song_gb2312" w:eastAsia="fang_song_gb2312" w:cs="fang_song_gb2312"/>
          <w:kern w:val="0"/>
          <w:sz w:val="27"/>
          <w:szCs w:val="27"/>
        </w:rPr>
        <w:t>列）</w:t>
      </w:r>
      <w:r>
        <w:rPr>
          <w:rFonts w:ascii="fang_song_gb2312" w:hAnsi="fang_song_gb2312" w:eastAsia="fang_song_gb2312" w:cs="fang_song_gb2312"/>
          <w:kern w:val="0"/>
          <w:sz w:val="27"/>
          <w:szCs w:val="27"/>
        </w:rPr>
        <w:t>、支出统计数</w:t>
      </w:r>
      <w:r>
        <w:rPr>
          <w:rFonts w:ascii="fang_song_gb2312" w:hAnsi="fang_song_gb2312" w:eastAsia="fang_song_gb2312" w:cs="fang_song_gb2312"/>
          <w:kern w:val="0"/>
          <w:sz w:val="27"/>
          <w:szCs w:val="27"/>
        </w:rPr>
        <w:t>（第</w:t>
      </w:r>
      <w:r>
        <w:rPr>
          <w:rFonts w:ascii="times_new_roman" w:hAnsi="times_new_roman" w:eastAsia="times_new_roman" w:cs="times_new_roman"/>
          <w:kern w:val="0"/>
          <w:sz w:val="27"/>
          <w:szCs w:val="27"/>
        </w:rPr>
        <w:t>6</w:t>
      </w:r>
      <w:r>
        <w:rPr>
          <w:rFonts w:ascii="fang_song_gb2312" w:hAnsi="fang_song_gb2312" w:eastAsia="fang_song_gb2312" w:cs="fang_song_gb2312"/>
          <w:kern w:val="0"/>
          <w:sz w:val="27"/>
          <w:szCs w:val="27"/>
        </w:rPr>
        <w:t>列）</w:t>
      </w:r>
      <w:r>
        <w:rPr>
          <w:rFonts w:ascii="fang_song_gb2312" w:hAnsi="fang_song_gb2312" w:eastAsia="fang_song_gb2312" w:cs="fang_song_gb2312"/>
          <w:kern w:val="0"/>
          <w:sz w:val="27"/>
          <w:szCs w:val="27"/>
        </w:rPr>
        <w:t>以及相关统计数由部门（单位）填写，并对真实性、准确性负责。</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九、</w:t>
      </w:r>
      <w:r>
        <w:rPr>
          <w:rFonts w:ascii="SimHei" w:hAnsi="SimHei" w:eastAsia="SimHei" w:cs="SimHei"/>
          <w:b/>
          <w:bCs/>
          <w:kern w:val="0"/>
          <w:sz w:val="27"/>
          <w:szCs w:val="27"/>
        </w:rPr>
        <w:t>政府性基金预算财政拨款支出决算情况说明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（反映部门（单位）年度政府性基金预算财政拨款支出决算情况。政府性基金预算财政拨款支出决算数应与“公开</w:t>
      </w:r>
      <w:r>
        <w:rPr>
          <w:rFonts w:ascii="times_new_roman" w:hAnsi="times_new_roman" w:eastAsia="times_new_roman" w:cs="times_new_roman"/>
          <w:color w:val="0E00FE"/>
          <w:kern w:val="0"/>
          <w:sz w:val="27"/>
          <w:szCs w:val="27"/>
        </w:rPr>
        <w:t>08</w:t>
      </w:r>
      <w:r>
        <w:rPr>
          <w:rFonts w:ascii="fang_song_gb2312" w:hAnsi="fang_song_gb2312" w:eastAsia="fang_song_gb2312" w:cs="fang_song_gb2312"/>
          <w:color w:val="0E00FE"/>
          <w:kern w:val="0"/>
          <w:sz w:val="27"/>
          <w:szCs w:val="27"/>
        </w:rPr>
        <w:t>表政府性基金预算财政拨款收入支出决算表”的本年支出决算数一致，并按政府收支分类科目的功能分类“项”级细化列示。）</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锡林郭勒盟农牧技术推广中心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%，变动原因：……。其中：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（一）城乡社区支出（类）政府住房基金及对应专项债务收入安排的支出（款）管理费用支出（项）支出</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万元，主要用于……。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（二）……</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（若不涉及政府性基金预算财政拨款支出，上述总体情况也应说明，只是数据填列为“</w:t>
      </w:r>
      <w:r>
        <w:rPr>
          <w:rFonts w:ascii="times_new_roman" w:hAnsi="times_new_roman" w:eastAsia="times_new_roman" w:cs="times_new_roman"/>
          <w:color w:val="0E00FE"/>
          <w:kern w:val="0"/>
          <w:sz w:val="27"/>
          <w:szCs w:val="27"/>
        </w:rPr>
        <w:t>0</w:t>
      </w:r>
      <w:r>
        <w:rPr>
          <w:rFonts w:ascii="fang_song_gb2312" w:hAnsi="fang_song_gb2312" w:eastAsia="fang_song_gb2312" w:cs="fang_song_gb2312"/>
          <w:color w:val="0E00FE"/>
          <w:kern w:val="0"/>
          <w:sz w:val="27"/>
          <w:szCs w:val="27"/>
        </w:rPr>
        <w:t>”，同时在“变动原因”处说明“本年无政府性基金预算财政拨款收、支、余。”或“本部门（单位）无政府性基金预算财政拨款收、支、余。”）</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十、</w:t>
      </w:r>
      <w:r>
        <w:rPr>
          <w:rFonts w:ascii="SimHei" w:hAnsi="SimHei" w:eastAsia="SimHei" w:cs="SimHei"/>
          <w:b/>
          <w:bCs/>
          <w:kern w:val="0"/>
          <w:sz w:val="27"/>
          <w:szCs w:val="27"/>
        </w:rPr>
        <w:t>国有资本经营预算财政拨款支出决算情况说明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反映部门（单位）年度国有资本经营预算财政拨款支出决算情况。国有资本经营预算财政拨款支出决算数应与“公开01表收入支出决算总表”的“国有资本经营预算支出”决算数及“公开09表国有资本经营预算财政拨款支出决算表”的本年支出数一致，并按政府收支分类科目的功能分类“项”级细化列示。）</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锡林郭勒盟农牧技术推广中心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NaN</w:t>
      </w:r>
      <w:r>
        <w:rPr>
          <w:rFonts w:ascii="fang_song_gb2312" w:hAnsi="fang_song_gb2312" w:eastAsia="fang_song_gb2312" w:cs="fang_song_gb2312"/>
          <w:kern w:val="0"/>
          <w:sz w:val="27"/>
          <w:szCs w:val="27"/>
        </w:rPr>
        <w:t>%，变动原因：……。其中：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（一）国有资本经营预算支出（类）解决历史遗留问题及改革成本支出（款）“三供一业”移交补助支出（项）支出</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万元，主要用于……。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（二）……</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（若不涉及国有资本经营预算财政拨款支出，上述总体情况也应说明，只是数据填列为“</w:t>
      </w:r>
      <w:r>
        <w:rPr>
          <w:rFonts w:ascii="times_new_roman" w:hAnsi="times_new_roman" w:eastAsia="times_new_roman" w:cs="times_new_roman"/>
          <w:color w:val="0E00FE"/>
          <w:kern w:val="0"/>
          <w:sz w:val="27"/>
          <w:szCs w:val="27"/>
        </w:rPr>
        <w:t>0</w:t>
      </w:r>
      <w:r>
        <w:rPr>
          <w:rFonts w:ascii="fang_song_gb2312" w:hAnsi="fang_song_gb2312" w:eastAsia="fang_song_gb2312" w:cs="fang_song_gb2312"/>
          <w:color w:val="0E00FE"/>
          <w:kern w:val="0"/>
          <w:sz w:val="27"/>
          <w:szCs w:val="27"/>
        </w:rPr>
        <w:t>”，同时在“变动原因”处说明“本年无国有资本经营预算财政拨款收、支、余。”或“本部门（单位）无国有资本经营预算财政拨款收、支、余。”）</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十一、</w:t>
      </w:r>
      <w:r>
        <w:rPr>
          <w:rFonts w:ascii="SimHei" w:hAnsi="SimHei" w:eastAsia="SimHei" w:cs="SimHei"/>
          <w:b/>
          <w:bCs/>
          <w:kern w:val="0"/>
          <w:sz w:val="27"/>
          <w:szCs w:val="27"/>
        </w:rPr>
        <w:t>机构运行经费支出决算情况说明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锡林郭勒盟农牧技术推广中心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132.64</w:t>
      </w:r>
      <w:r>
        <w:rPr>
          <w:rFonts w:ascii="fang_song_gb2312" w:hAnsi="fang_song_gb2312" w:eastAsia="fang_song_gb2312" w:cs="fang_song_gb2312"/>
          <w:kern w:val="0"/>
          <w:sz w:val="27"/>
          <w:szCs w:val="27"/>
        </w:rPr>
        <w:t>万元。比上年决算相比，增加（减少）</w:t>
      </w:r>
      <w:r>
        <w:rPr>
          <w:rFonts w:ascii="times_new_roman" w:hAnsi="times_new_roman" w:eastAsia="times_new_roman" w:cs="times_new_roman"/>
          <w:kern w:val="0"/>
          <w:sz w:val="27"/>
          <w:szCs w:val="27"/>
          <w:u w:val="single"/>
        </w:rPr>
        <w:t xml:space="preserve"> -9.36</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-6.59</w:t>
      </w:r>
      <w:r>
        <w:rPr>
          <w:rFonts w:ascii="fang_song_gb2312" w:hAnsi="fang_song_gb2312" w:eastAsia="fang_song_gb2312" w:cs="fang_song_gb2312"/>
          <w:kern w:val="0"/>
          <w:sz w:val="27"/>
          <w:szCs w:val="27"/>
        </w:rPr>
        <w:t>%，变动原因：……。</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（特别强调：行政单位、参照公务员法管理事业单位、其他事业单位依据“公开</w:t>
      </w:r>
      <w:r>
        <w:rPr>
          <w:rFonts w:ascii="times_new_roman" w:hAnsi="times_new_roman" w:eastAsia="times_new_roman" w:cs="times_new_roman"/>
          <w:color w:val="0E00FE"/>
          <w:kern w:val="0"/>
          <w:sz w:val="27"/>
          <w:szCs w:val="27"/>
        </w:rPr>
        <w:t>06</w:t>
      </w:r>
      <w:r>
        <w:rPr>
          <w:rFonts w:ascii="fang_song_gb2312" w:hAnsi="fang_song_gb2312" w:eastAsia="fang_song_gb2312" w:cs="fang_song_gb2312"/>
          <w:color w:val="0E00FE"/>
          <w:kern w:val="0"/>
          <w:sz w:val="27"/>
          <w:szCs w:val="27"/>
        </w:rPr>
        <w:t>表一般公共预算财政拨款基本支出决算明细表”公用经费合计数填列。）</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十二、</w:t>
      </w:r>
      <w:r>
        <w:rPr>
          <w:rFonts w:ascii="SimHei" w:hAnsi="SimHei" w:eastAsia="SimHei" w:cs="SimHei"/>
          <w:b/>
          <w:bCs/>
          <w:kern w:val="0"/>
          <w:sz w:val="27"/>
          <w:szCs w:val="27"/>
        </w:rPr>
        <w:t>政府采购支出决算情况说明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锡林郭勒盟农牧技术推广中心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308.47</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10.15</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298.32</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220.72</w:t>
      </w:r>
      <w:r>
        <w:rPr>
          <w:rFonts w:ascii="fang_song_gb2312" w:hAnsi="fang_song_gb2312" w:eastAsia="fang_song_gb2312" w:cs="fang_song_gb2312"/>
          <w:kern w:val="0"/>
          <w:sz w:val="27"/>
          <w:szCs w:val="27"/>
        </w:rPr>
        <w:t>万元，占政府采购支出总额的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220.72</w:t>
      </w:r>
      <w:r>
        <w:rPr>
          <w:rFonts w:ascii="fang_song_gb2312" w:hAnsi="fang_song_gb2312" w:eastAsia="fang_song_gb2312" w:cs="fang_song_gb2312"/>
          <w:kern w:val="0"/>
          <w:sz w:val="27"/>
          <w:szCs w:val="27"/>
        </w:rPr>
        <w:t>万元，占政府采购支出总额的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%；货物采购授予中小企业合同金额占货物支出金额的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%，工程采购授予中小企业合同金额占工程支出金额的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%，服务采购授予中小企业合同金额占服务支出金额的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（特别强调：依据“公开</w:t>
      </w:r>
      <w:r>
        <w:rPr>
          <w:rFonts w:ascii="times_new_roman" w:hAnsi="times_new_roman" w:eastAsia="times_new_roman" w:cs="times_new_roman"/>
          <w:color w:val="0E00FE"/>
          <w:kern w:val="0"/>
          <w:sz w:val="27"/>
          <w:szCs w:val="27"/>
        </w:rPr>
        <w:t>11</w:t>
      </w:r>
      <w:r>
        <w:rPr>
          <w:rFonts w:ascii="fang_song_gb2312" w:hAnsi="fang_song_gb2312" w:eastAsia="fang_song_gb2312" w:cs="fang_song_gb2312"/>
          <w:color w:val="0E00FE"/>
          <w:kern w:val="0"/>
          <w:sz w:val="27"/>
          <w:szCs w:val="27"/>
        </w:rPr>
        <w:t>表机构运行经费支出、国有资产占用情况及政府采购支出信息表”数据填列。）</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十三、</w:t>
      </w:r>
      <w:r>
        <w:rPr>
          <w:rFonts w:ascii="SimHei" w:hAnsi="SimHei" w:eastAsia="SimHei" w:cs="SimHei"/>
          <w:b/>
          <w:bCs/>
          <w:kern w:val="0"/>
          <w:sz w:val="27"/>
          <w:szCs w:val="27"/>
        </w:rPr>
        <w:t>国有资产占用情况说明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锡林郭勒盟农牧技术推广中心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6</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6</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台（套）。</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（特别强调：依据“公开</w:t>
      </w:r>
      <w:r>
        <w:rPr>
          <w:rFonts w:ascii="times_new_roman" w:hAnsi="times_new_roman" w:eastAsia="times_new_roman" w:cs="times_new_roman"/>
          <w:color w:val="0E00FE"/>
          <w:kern w:val="0"/>
          <w:sz w:val="27"/>
          <w:szCs w:val="27"/>
        </w:rPr>
        <w:t>11</w:t>
      </w:r>
      <w:r>
        <w:rPr>
          <w:rFonts w:ascii="fang_song_gb2312" w:hAnsi="fang_song_gb2312" w:eastAsia="fang_song_gb2312" w:cs="fang_song_gb2312"/>
          <w:color w:val="0E00FE"/>
          <w:kern w:val="0"/>
          <w:sz w:val="27"/>
          <w:szCs w:val="27"/>
        </w:rPr>
        <w:t>表机构运行经费支出、国有资产占用情况及政府采购支出信息表”数据填列。）</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SimHei" w:hAnsi="SimHei" w:eastAsia="SimHei" w:cs="SimHei"/>
          <w:b/>
          <w:bCs/>
          <w:kern w:val="0"/>
          <w:sz w:val="27"/>
          <w:szCs w:val="27"/>
        </w:rPr>
        <w:t xml:space="preserve"> </w:t>
      </w:r>
      <w:r>
        <w:rPr>
          <w:rFonts w:ascii="Calibri" w:hAnsi="Calibri" w:eastAsia="Calibri" w:cs="Calibri"/>
          <w:b/>
          <w:bCs/>
          <w:kern w:val="0"/>
          <w:sz w:val="27"/>
          <w:szCs w:val="27"/>
        </w:rPr>
        <w:t> </w:t>
      </w:r>
      <w:r>
        <w:rPr>
          <w:rFonts w:ascii="SimHei" w:hAnsi="SimHei" w:eastAsia="SimHei" w:cs="SimHei"/>
          <w:b/>
          <w:bCs/>
          <w:kern w:val="0"/>
          <w:sz w:val="27"/>
          <w:szCs w:val="27"/>
        </w:rPr>
        <w:t xml:space="preserve"> 十四、</w:t>
      </w:r>
      <w:r>
        <w:rPr>
          <w:rFonts w:ascii="SimHei" w:hAnsi="SimHei" w:eastAsia="SimHei" w:cs="SimHei"/>
          <w:b/>
          <w:bCs/>
          <w:kern w:val="0"/>
          <w:sz w:val="27"/>
          <w:szCs w:val="27"/>
        </w:rPr>
        <w:t>预算绩效情况说明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锡林郭勒盟农牧技术推广中心 根据预算绩效管理要求组织对</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年一般公共预算项目支出全面开展绩效自评，其中一级项目</w:t>
      </w:r>
      <w:r>
        <w:rPr>
          <w:rFonts w:ascii="times_new_roman" w:hAnsi="times_new_roman" w:eastAsia="times_new_roman" w:cs="times_new_roman"/>
          <w:kern w:val="0"/>
          <w:sz w:val="27"/>
          <w:szCs w:val="27"/>
          <w:u w:val="single"/>
        </w:rPr>
        <w:t>XX</w:t>
      </w:r>
      <w:r>
        <w:rPr>
          <w:rFonts w:ascii="fang_song_gb2312" w:hAnsi="fang_song_gb2312" w:eastAsia="fang_song_gb2312" w:cs="fang_song_gb2312"/>
          <w:kern w:val="0"/>
          <w:sz w:val="27"/>
          <w:szCs w:val="27"/>
        </w:rPr>
        <w:t>个，二级项目</w:t>
      </w:r>
      <w:r>
        <w:rPr>
          <w:rFonts w:ascii="times_new_roman" w:hAnsi="times_new_roman" w:eastAsia="times_new_roman" w:cs="times_new_roman"/>
          <w:kern w:val="0"/>
          <w:sz w:val="27"/>
          <w:szCs w:val="27"/>
          <w:u w:val="single"/>
        </w:rPr>
        <w:t>XX</w:t>
      </w:r>
      <w:r>
        <w:rPr>
          <w:rFonts w:ascii="fang_song_gb2312" w:hAnsi="fang_song_gb2312" w:eastAsia="fang_song_gb2312" w:cs="fang_song_gb2312"/>
          <w:kern w:val="0"/>
          <w:sz w:val="27"/>
          <w:szCs w:val="27"/>
        </w:rPr>
        <w:t>个，共涉及资金</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%；政府性基金预算项目</w:t>
      </w:r>
      <w:r>
        <w:rPr>
          <w:rFonts w:ascii="times_new_roman" w:hAnsi="times_new_roman" w:eastAsia="times_new_roman" w:cs="times_new_roman"/>
          <w:kern w:val="0"/>
          <w:sz w:val="27"/>
          <w:szCs w:val="27"/>
          <w:u w:val="single"/>
        </w:rPr>
        <w:t>XX</w:t>
      </w:r>
      <w:r>
        <w:rPr>
          <w:rFonts w:ascii="fang_song_gb2312" w:hAnsi="fang_song_gb2312" w:eastAsia="fang_song_gb2312" w:cs="fang_song_gb2312"/>
          <w:kern w:val="0"/>
          <w:sz w:val="27"/>
          <w:szCs w:val="27"/>
        </w:rPr>
        <w:t>个，其中，一级项目</w:t>
      </w:r>
      <w:r>
        <w:rPr>
          <w:rFonts w:ascii="times_new_roman" w:hAnsi="times_new_roman" w:eastAsia="times_new_roman" w:cs="times_new_roman"/>
          <w:kern w:val="0"/>
          <w:sz w:val="27"/>
          <w:szCs w:val="27"/>
          <w:u w:val="single"/>
        </w:rPr>
        <w:t>    </w:t>
      </w:r>
      <w:r>
        <w:rPr>
          <w:rFonts w:ascii="fang_song_gb2312" w:hAnsi="fang_song_gb2312" w:eastAsia="fang_song_gb2312" w:cs="fang_song_gb2312"/>
          <w:kern w:val="0"/>
          <w:sz w:val="27"/>
          <w:szCs w:val="27"/>
        </w:rPr>
        <w:t>个，二级项目</w:t>
      </w:r>
      <w:r>
        <w:rPr>
          <w:rFonts w:ascii="times_new_roman" w:hAnsi="times_new_roman" w:eastAsia="times_new_roman" w:cs="times_new_roman"/>
          <w:kern w:val="0"/>
          <w:sz w:val="27"/>
          <w:szCs w:val="27"/>
          <w:u w:val="single"/>
        </w:rPr>
        <w:t>XX</w:t>
      </w:r>
      <w:r>
        <w:rPr>
          <w:rFonts w:ascii="fang_song_gb2312" w:hAnsi="fang_song_gb2312" w:eastAsia="fang_song_gb2312" w:cs="fang_song_gb2312"/>
          <w:kern w:val="0"/>
          <w:sz w:val="27"/>
          <w:szCs w:val="27"/>
        </w:rPr>
        <w:t>个，共涉及资金</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万元，占应纳入绩效自评的政府性基金预算项目支出总额的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；......（如有国有资本经营预算、社保基金预算、政府债务项目、政府投资基金项目、</w:t>
      </w:r>
      <w:r>
        <w:rPr>
          <w:rFonts w:ascii="times_new_roman" w:hAnsi="times_new_roman" w:eastAsia="times_new_roman" w:cs="times_new_roman"/>
          <w:kern w:val="0"/>
          <w:sz w:val="27"/>
          <w:szCs w:val="27"/>
        </w:rPr>
        <w:t>PPP</w:t>
      </w:r>
      <w:r>
        <w:rPr>
          <w:rFonts w:ascii="fang_song_gb2312" w:hAnsi="fang_song_gb2312" w:eastAsia="fang_song_gb2312" w:cs="fang_song_gb2312"/>
          <w:kern w:val="0"/>
          <w:sz w:val="27"/>
          <w:szCs w:val="27"/>
        </w:rPr>
        <w:t>项目和政府采购及政府购买服务等继续填列）。</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组织对“</w:t>
      </w:r>
      <w:r>
        <w:rPr>
          <w:rFonts w:ascii="times_new_roman" w:hAnsi="times_new_roman" w:eastAsia="times_new_roman" w:cs="times_new_roman"/>
          <w:kern w:val="0"/>
          <w:sz w:val="27"/>
          <w:szCs w:val="27"/>
        </w:rPr>
        <w:t>A</w:t>
      </w:r>
      <w:r>
        <w:rPr>
          <w:rFonts w:ascii="fang_song_gb2312" w:hAnsi="fang_song_gb2312" w:eastAsia="fang_song_gb2312" w:cs="fang_song_gb2312"/>
          <w:kern w:val="0"/>
          <w:sz w:val="27"/>
          <w:szCs w:val="27"/>
        </w:rPr>
        <w:t>项目”、“</w:t>
      </w:r>
      <w:r>
        <w:rPr>
          <w:rFonts w:ascii="times_new_roman" w:hAnsi="times_new_roman" w:eastAsia="times_new_roman" w:cs="times_new_roman"/>
          <w:kern w:val="0"/>
          <w:sz w:val="27"/>
          <w:szCs w:val="27"/>
        </w:rPr>
        <w:t>B</w:t>
      </w:r>
      <w:r>
        <w:rPr>
          <w:rFonts w:ascii="fang_song_gb2312" w:hAnsi="fang_song_gb2312" w:eastAsia="fang_song_gb2312" w:cs="fang_song_gb2312"/>
          <w:kern w:val="0"/>
          <w:sz w:val="27"/>
          <w:szCs w:val="27"/>
        </w:rPr>
        <w:t>项目”、“</w:t>
      </w:r>
      <w:r>
        <w:rPr>
          <w:rFonts w:ascii="times_new_roman" w:hAnsi="times_new_roman" w:eastAsia="times_new_roman" w:cs="times_new_roman"/>
          <w:kern w:val="0"/>
          <w:sz w:val="27"/>
          <w:szCs w:val="27"/>
        </w:rPr>
        <w:t>C</w:t>
      </w:r>
      <w:r>
        <w:rPr>
          <w:rFonts w:ascii="fang_song_gb2312" w:hAnsi="fang_song_gb2312" w:eastAsia="fang_song_gb2312" w:cs="fang_song_gb2312"/>
          <w:kern w:val="0"/>
          <w:sz w:val="27"/>
          <w:szCs w:val="27"/>
        </w:rPr>
        <w:t>项目”等</w:t>
      </w:r>
      <w:r>
        <w:rPr>
          <w:rFonts w:ascii="fang_song_gb2312" w:hAnsi="fang_song_gb2312" w:eastAsia="fang_song_gb2312" w:cs="fang_song_gb2312"/>
          <w:kern w:val="0"/>
          <w:sz w:val="27"/>
          <w:szCs w:val="27"/>
          <w:u w:val="single"/>
        </w:rPr>
        <w:t>    </w:t>
      </w:r>
      <w:r>
        <w:rPr>
          <w:rFonts w:ascii="fang_song_gb2312" w:hAnsi="fang_song_gb2312" w:eastAsia="fang_song_gb2312" w:cs="fang_song_gb2312"/>
          <w:kern w:val="0"/>
          <w:sz w:val="27"/>
          <w:szCs w:val="27"/>
        </w:rPr>
        <w:t>个项目开展了部门（单位）评价（此处即为重点评价内容），涉及一般公共预算支出</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万元，政府性基金支出</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万元，......（还有其他类资金的项目继续填列）。其中，对“</w:t>
      </w:r>
      <w:r>
        <w:rPr>
          <w:rFonts w:ascii="times_new_roman" w:hAnsi="times_new_roman" w:eastAsia="times_new_roman" w:cs="times_new_roman"/>
          <w:kern w:val="0"/>
          <w:sz w:val="27"/>
          <w:szCs w:val="27"/>
        </w:rPr>
        <w:t>A</w:t>
      </w:r>
      <w:r>
        <w:rPr>
          <w:rFonts w:ascii="fang_song_gb2312" w:hAnsi="fang_song_gb2312" w:eastAsia="fang_song_gb2312" w:cs="fang_song_gb2312"/>
          <w:kern w:val="0"/>
          <w:sz w:val="27"/>
          <w:szCs w:val="27"/>
        </w:rPr>
        <w:t>项目”、“</w:t>
      </w:r>
      <w:r>
        <w:rPr>
          <w:rFonts w:ascii="times_new_roman" w:hAnsi="times_new_roman" w:eastAsia="times_new_roman" w:cs="times_new_roman"/>
          <w:kern w:val="0"/>
          <w:sz w:val="27"/>
          <w:szCs w:val="27"/>
        </w:rPr>
        <w:t>B</w:t>
      </w:r>
      <w:r>
        <w:rPr>
          <w:rFonts w:ascii="fang_song_gb2312" w:hAnsi="fang_song_gb2312" w:eastAsia="fang_song_gb2312" w:cs="fang_song_gb2312"/>
          <w:kern w:val="0"/>
          <w:sz w:val="27"/>
          <w:szCs w:val="27"/>
        </w:rPr>
        <w:t>项目”、“</w:t>
      </w:r>
      <w:r>
        <w:rPr>
          <w:rFonts w:ascii="times_new_roman" w:hAnsi="times_new_roman" w:eastAsia="times_new_roman" w:cs="times_new_roman"/>
          <w:kern w:val="0"/>
          <w:sz w:val="27"/>
          <w:szCs w:val="27"/>
        </w:rPr>
        <w:t>C</w:t>
      </w:r>
      <w:r>
        <w:rPr>
          <w:rFonts w:ascii="fang_song_gb2312" w:hAnsi="fang_song_gb2312" w:eastAsia="fang_song_gb2312" w:cs="fang_song_gb2312"/>
          <w:kern w:val="0"/>
          <w:sz w:val="27"/>
          <w:szCs w:val="27"/>
        </w:rPr>
        <w:t>项目”等项目分别委托相关第三方机构开展绩效评价。从评价情况看，以上项目......（此处写重点评价的总结性评价结果，不是重点绩效评价报告全文）。</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（二）部门（单位）决算中项目绩效自评结果。</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锡林郭勒盟农牧技术推广中心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年度在决算中反映</w:t>
      </w:r>
      <w:r>
        <w:rPr>
          <w:rFonts w:ascii="times_new_roman" w:hAnsi="times_new_roman" w:eastAsia="times_new_roman" w:cs="times_new_roman"/>
          <w:kern w:val="0"/>
          <w:sz w:val="27"/>
          <w:szCs w:val="27"/>
          <w:u w:val="single"/>
        </w:rPr>
        <w:t>XX</w:t>
      </w:r>
      <w:r>
        <w:rPr>
          <w:rFonts w:ascii="fang_song_gb2312" w:hAnsi="fang_song_gb2312" w:eastAsia="fang_song_gb2312" w:cs="fang_song_gb2312"/>
          <w:kern w:val="0"/>
          <w:sz w:val="27"/>
          <w:szCs w:val="27"/>
        </w:rPr>
        <w:t>个一般公共预算项目，以及</w:t>
      </w:r>
      <w:r>
        <w:rPr>
          <w:rFonts w:ascii="times_new_roman" w:hAnsi="times_new_roman" w:eastAsia="times_new_roman" w:cs="times_new_roman"/>
          <w:kern w:val="0"/>
          <w:sz w:val="27"/>
          <w:szCs w:val="27"/>
          <w:u w:val="single"/>
        </w:rPr>
        <w:t>XX</w:t>
      </w:r>
      <w:r>
        <w:rPr>
          <w:rFonts w:ascii="fang_song_gb2312" w:hAnsi="fang_song_gb2312" w:eastAsia="fang_song_gb2312" w:cs="fang_song_gb2312"/>
          <w:kern w:val="0"/>
          <w:sz w:val="27"/>
          <w:szCs w:val="27"/>
        </w:rPr>
        <w:t>个政府性基金项目， ......（还有其他资金的项目继续填列）共</w:t>
      </w:r>
      <w:r>
        <w:rPr>
          <w:rFonts w:ascii="times_new_roman" w:hAnsi="times_new_roman" w:eastAsia="times_new_roman" w:cs="times_new_roman"/>
          <w:kern w:val="0"/>
          <w:sz w:val="27"/>
          <w:szCs w:val="27"/>
          <w:u w:val="single"/>
        </w:rPr>
        <w:t>XX</w:t>
      </w:r>
      <w:r>
        <w:rPr>
          <w:rFonts w:ascii="fang_song_gb2312" w:hAnsi="fang_song_gb2312" w:eastAsia="fang_song_gb2312" w:cs="fang_song_gb2312"/>
          <w:kern w:val="0"/>
          <w:sz w:val="27"/>
          <w:szCs w:val="27"/>
        </w:rPr>
        <w:t>个项目的绩效自评结果。</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1.XX</w:t>
      </w:r>
      <w:r>
        <w:rPr>
          <w:rFonts w:ascii="fang_song_gb2312" w:hAnsi="fang_song_gb2312" w:eastAsia="fang_song_gb2312" w:cs="fang_song_gb2312"/>
          <w:kern w:val="0"/>
          <w:sz w:val="27"/>
          <w:szCs w:val="27"/>
        </w:rPr>
        <w:t>项目自评综述：根据年初设定的绩效目标，项目自评得分</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分。全年预算数为</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万元，执行数为</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XX.X</w:t>
      </w:r>
      <w:r>
        <w:rPr>
          <w:rFonts w:ascii="fang_song_gb2312" w:hAnsi="fang_song_gb2312" w:eastAsia="fang_song_gb2312" w:cs="fang_song_gb2312"/>
          <w:kern w:val="0"/>
          <w:sz w:val="27"/>
          <w:szCs w:val="27"/>
        </w:rPr>
        <w:t>%。项目绩效目标完成情况：（简述核心绩效指标完成情况）。发现的主要问题及原因：（简述）。下一步改进措施：（简述）。</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2.XX</w:t>
      </w:r>
      <w:r>
        <w:rPr>
          <w:rFonts w:ascii="fang_song_gb2312" w:hAnsi="fang_song_gb2312" w:eastAsia="fang_song_gb2312" w:cs="fang_song_gb2312"/>
          <w:kern w:val="0"/>
          <w:sz w:val="27"/>
          <w:szCs w:val="27"/>
        </w:rPr>
        <w:t>项目自评综述：</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......（以此类推）</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（所有项目自评综述完成后，按项目顺序列示项目支出绩效自评表，一个项目一张项目支出绩效自评表。自评项目</w:t>
      </w:r>
      <w:r>
        <w:rPr>
          <w:rFonts w:ascii="times_new_roman" w:hAnsi="times_new_roman" w:eastAsia="times_new_roman" w:cs="times_new_roman"/>
          <w:color w:val="0E00FE"/>
          <w:kern w:val="0"/>
          <w:sz w:val="27"/>
          <w:szCs w:val="27"/>
        </w:rPr>
        <w:t>5</w:t>
      </w:r>
      <w:r>
        <w:rPr>
          <w:rFonts w:ascii="fang_song_gb2312" w:hAnsi="fang_song_gb2312" w:eastAsia="fang_song_gb2312" w:cs="fang_song_gb2312"/>
          <w:color w:val="0E00FE"/>
          <w:kern w:val="0"/>
          <w:sz w:val="27"/>
          <w:szCs w:val="27"/>
        </w:rPr>
        <w:t>个以内（含</w:t>
      </w:r>
      <w:r>
        <w:rPr>
          <w:rFonts w:ascii="times_new_roman" w:hAnsi="times_new_roman" w:eastAsia="times_new_roman" w:cs="times_new_roman"/>
          <w:color w:val="0E00FE"/>
          <w:kern w:val="0"/>
          <w:sz w:val="27"/>
          <w:szCs w:val="27"/>
        </w:rPr>
        <w:t>5</w:t>
      </w:r>
      <w:r>
        <w:rPr>
          <w:rFonts w:ascii="fang_song_gb2312" w:hAnsi="fang_song_gb2312" w:eastAsia="fang_song_gb2312" w:cs="fang_song_gb2312"/>
          <w:color w:val="0E00FE"/>
          <w:kern w:val="0"/>
          <w:sz w:val="27"/>
          <w:szCs w:val="27"/>
        </w:rPr>
        <w:t>个）据实公开，5个项目以上的，公开5个自评综述和自评表。后附：项目支出绩效自评表（样表））</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（三）部门（单位）项目绩效评价结果。</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以</w:t>
      </w:r>
      <w:r>
        <w:rPr>
          <w:rFonts w:ascii="times_new_roman" w:hAnsi="times_new_roman" w:eastAsia="times_new_roman" w:cs="times_new_roman"/>
          <w:kern w:val="0"/>
          <w:sz w:val="27"/>
          <w:szCs w:val="27"/>
        </w:rPr>
        <w:t>A</w:t>
      </w:r>
      <w:r>
        <w:rPr>
          <w:rFonts w:ascii="fang_song_gb2312" w:hAnsi="fang_song_gb2312" w:eastAsia="fang_song_gb2312" w:cs="fang_song_gb2312"/>
          <w:kern w:val="0"/>
          <w:sz w:val="27"/>
          <w:szCs w:val="27"/>
        </w:rPr>
        <w:t>项目为例，该项目绩效评价综合得分为</w:t>
      </w:r>
      <w:r>
        <w:rPr>
          <w:rFonts w:ascii="times_new_roman" w:hAnsi="times_new_roman" w:eastAsia="times_new_roman" w:cs="times_new_roman"/>
          <w:kern w:val="0"/>
          <w:sz w:val="27"/>
          <w:szCs w:val="27"/>
          <w:u w:val="single"/>
        </w:rPr>
        <w:t>XX.XX</w:t>
      </w:r>
      <w:r>
        <w:rPr>
          <w:rFonts w:ascii="fang_song_gb2312" w:hAnsi="fang_song_gb2312" w:eastAsia="fang_song_gb2312" w:cs="fang_song_gb2312"/>
          <w:kern w:val="0"/>
          <w:sz w:val="27"/>
          <w:szCs w:val="27"/>
        </w:rPr>
        <w:t>分，绩效评价结果为“优”。重点项目绩效评价得分情况详见部门（单位）具体绩效评价结果。</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（从部门评价报告选择一例报告进行公开，报告模板参考项目支出绩效管理办法关于绩效评价报告要求。）</w:t>
      </w:r>
    </w:p>
    <w:p>
      <w:pPr>
        <w:widowControl/>
        <w:spacing w:before="240" w:after="240"/>
        <w:jc w:val="left"/>
        <w:rPr>
          <w:rFonts w:ascii="Times New Roman" w:hAnsi="Times New Roman" w:eastAsia="Times New Roman" w:cs="Times New Roman"/>
          <w:kern w:val="0"/>
          <w:sz w:val="24"/>
        </w:rPr>
      </w:pPr>
    </w:p>
    <w:p>
      <w:pPr>
        <w:pStyle w:val="Heading2"/>
        <w:keepNext w:val="false"/>
        <w:keepLines w:val="false"/>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w:t>
      </w:r>
      <w:r>
        <w:rPr>
          <w:rFonts w:ascii="fang_song_gb2312" w:hAnsi="fang_song_gb2312" w:eastAsia="fang_song_gb2312" w:cs="fang_song_gb2312"/>
          <w:b/>
          <w:bCs/>
          <w:kern w:val="0"/>
          <w:sz w:val="27"/>
          <w:szCs w:val="27"/>
        </w:rPr>
        <w:t>“</w:t>
      </w:r>
      <w:r>
        <w:rPr>
          <w:rFonts w:ascii="fang_song_gb2312" w:hAnsi="fang_song_gb2312" w:eastAsia="fang_song_gb2312" w:cs="fang_song_gb2312"/>
          <w:b/>
          <w:bCs/>
          <w:kern w:val="0"/>
          <w:sz w:val="27"/>
          <w:szCs w:val="27"/>
        </w:rPr>
        <w:t>三公</w:t>
      </w:r>
      <w:r>
        <w:rPr>
          <w:rFonts w:ascii="fang_song_gb2312" w:hAnsi="fang_song_gb2312" w:eastAsia="fang_song_gb2312" w:cs="fang_song_gb2312"/>
          <w:b/>
          <w:bCs/>
          <w:kern w:val="0"/>
          <w:sz w:val="27"/>
          <w:szCs w:val="27"/>
        </w:rPr>
        <w:t>”</w:t>
      </w:r>
      <w:r>
        <w:rPr>
          <w:rFonts w:ascii="fang_song_gb2312" w:hAnsi="fang_song_gb2312" w:eastAsia="fang_song_gb2312" w:cs="fang_song_gb2312"/>
          <w:b/>
          <w:bCs/>
          <w:kern w:val="0"/>
          <w:sz w:val="27"/>
          <w:szCs w:val="27"/>
        </w:rPr>
        <w:t>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（各部门（单位）应根据公开决算表中对应的经费情况进行名词解释，对未涉及的名词可以删除）</w:t>
      </w:r>
    </w:p>
    <w:p>
      <w:pPr>
        <w:widowControl/>
        <w:spacing w:before="240" w:after="240"/>
        <w:jc w:val="left"/>
        <w:rPr>
          <w:rFonts w:ascii="Times New Roman" w:hAnsi="Times New Roman" w:eastAsia="Times New Roman" w:cs="Times New Roman"/>
          <w:kern w:val="0"/>
          <w:sz w:val="24"/>
        </w:rPr>
      </w:pPr>
    </w:p>
    <w:p>
      <w:pPr>
        <w:pStyle w:val="Heading2"/>
        <w:keepNext w:val="false"/>
        <w:keepLines w:val="false"/>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张向泽 </w:t>
      </w:r>
      <w:r>
        <w:rPr>
          <w:rFonts w:ascii="fang_song_gb2312" w:hAnsi="fang_song_gb2312" w:eastAsia="fang_song_gb2312" w:cs="fang_song_gb2312"/>
          <w:kern w:val="0"/>
          <w:sz w:val="27"/>
          <w:szCs w:val="27"/>
        </w:rPr>
        <w:t>          联系电话：0479-8103178- </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pPr>
        <w:widowControl/>
        <w:spacing w:before="240" w:after="240"/>
        <w:jc w:val="center"/>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见附件。</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rsidR="00954CD9">
      <w:pPr>
        <w:adjustRightInd w:val="false"/>
        <w:snapToGrid w:val="false"/>
        <w:rPr>
          <w:rFonts w:ascii="宋体" w:hAnsi="宋体"/>
          <w:b/>
          <w:sz w:val="32"/>
          <w:szCs w:val="32"/>
        </w:rPr>
      </w:pPr>
      <w:bookmarkEnd w:id="0"/>
    </w:p>
    <w:p w:rsidR="00954CD9" w14:paraId="16B721BE" w14:textId="77777777">
      <w:pPr>
        <w:adjustRightInd w:val="false"/>
        <w:snapToGrid w:val="false"/>
        <w:rPr>
          <w:rFonts w:ascii="宋体" w:hAnsi="宋体"/>
          <w:b/>
          <w:sz w:val="32"/>
          <w:szCs w:val="32"/>
        </w:rPr>
      </w:pPr>
    </w:p>
    <w:p w:rsidRPr="00B76620" w:rsidR="009E1EE8" w:rsidP="00667493" w14:paraId="064DC7E7" w14:textId="77777777">
      <w:pPr>
        <w:tabs>
          <w:tab w:val="left" w:pos="8415"/>
        </w:tabs>
      </w:pPr>
    </w:p>
    <w:sectPr w:rsidSect="009F0536">
      <w:footerReference w:type="default" r:id="rId6"/>
      <w:pgSz w:w="11906" w:h="16838" w:code="9"/>
      <w:pgMar w:top="1440" w:right="1083" w:bottom="1440" w:left="1083" w:header="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宋体" w:eastAsia="宋体" w:hAnsi="宋体" w:cs="宋体"/>
        <w:sz w:val="18"/>
      </w:rPr>
      <w:fldChar w:fldCharType="begin"/>
    </w:r>
    <w:r>
      <w:rPr>
        <w:rFonts w:ascii="宋体" w:eastAsia="宋体" w:hAnsi="宋体" w:cs="宋体"/>
        <w:sz w:val="18"/>
      </w:rPr>
      <w:instrText xml:space="preserve"> PAGE </w:instrText>
    </w:r>
    <w:r>
      <w:rPr>
        <w:rFonts w:ascii="宋体" w:eastAsia="宋体" w:hAnsi="宋体" w:cs="宋体"/>
        <w:sz w:val="18"/>
      </w:rPr>
      <w:fldChar w:fldCharType="separate"/>
    </w:r>
    <w:r>
      <w:rPr>
        <w:rFonts w:ascii="宋体" w:eastAsia="宋体" w:hAnsi="宋体" w:cs="宋体"/>
        <w:sz w:val="18"/>
      </w:rPr>
      <w:t>1</w:t>
    </w:r>
    <w:r>
      <w:rPr>
        <w:rFonts w:ascii="宋体" w:eastAsia="宋体" w:hAnsi="宋体" w:cs="宋体"/>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08A" w14:paraId="3FF4D134" w14:textId="77777777">
    <w:pPr>
      <w:pStyle w:val="Footer"/>
      <w:jc w:val="center"/>
    </w:pPr>
    <w:r>
      <w:fldChar w:fldCharType="begin"/>
    </w:r>
    <w:r>
      <w:instrText xml:space="preserve"> PAGE   \* MERGEFORMAT </w:instrText>
    </w:r>
    <w:r>
      <w:fldChar w:fldCharType="separate"/>
    </w:r>
    <w:r w:rsidRPr="00EE533B" w:rsidR="00EE533B">
      <w:rPr>
        <w:noProof/>
        <w:lang w:val="zh-CN"/>
      </w:rPr>
      <w:t>23</w:t>
    </w:r>
    <w:r>
      <w:rPr>
        <w:noProof/>
        <w:lang w:val="zh-CN"/>
      </w:rPr>
      <w:fldChar w:fldCharType="end"/>
    </w:r>
  </w:p>
  <w:p w:rsidR="00AB013A" w14:paraId="2E0A91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AD236D"/>
    <w:multiLevelType w:val="hybridMultilevel"/>
    <w:tmpl w:val="2D28D10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B8F6C5F"/>
    <w:multiLevelType w:val="hybridMultilevel"/>
    <w:tmpl w:val="00806DC4"/>
    <w:lvl w:ilvl="0">
      <w:start w:val="2"/>
      <w:numFmt w:val="decimalEnclosedCircle"/>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2">
    <w:nsid w:val="1C077691"/>
    <w:multiLevelType w:val="hybridMultilevel"/>
    <w:tmpl w:val="12EC6794"/>
    <w:lvl w:ilvl="0">
      <w:start w:val="1"/>
      <w:numFmt w:val="japaneseCounting"/>
      <w:lvlText w:val="%1、"/>
      <w:lvlJc w:val="left"/>
      <w:pPr>
        <w:ind w:left="672" w:hanging="672"/>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28795DEE"/>
    <w:multiLevelType w:val="hybridMultilevel"/>
    <w:tmpl w:val="99922276"/>
    <w:lvl w:ilvl="0">
      <w:start w:val="1"/>
      <w:numFmt w:val="japaneseCounting"/>
      <w:lvlText w:val="（%1）"/>
      <w:lvlJc w:val="left"/>
      <w:pPr>
        <w:ind w:left="936" w:hanging="93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5135E81"/>
    <w:multiLevelType w:val="hybridMultilevel"/>
    <w:tmpl w:val="517EB330"/>
    <w:lvl w:ilvl="0">
      <w:start w:val="1"/>
      <w:numFmt w:val="japaneseCounting"/>
      <w:lvlText w:val="（%1）"/>
      <w:lvlJc w:val="left"/>
      <w:pPr>
        <w:ind w:left="936" w:hanging="93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37474F8B"/>
    <w:multiLevelType w:val="hybridMultilevel"/>
    <w:tmpl w:val="5C58F830"/>
    <w:lvl w:ilvl="0">
      <w:start w:val="2"/>
      <w:numFmt w:val="decimalEnclosedCircle"/>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6">
    <w:nsid w:val="3EBF5782"/>
    <w:multiLevelType w:val="hybridMultilevel"/>
    <w:tmpl w:val="B20C24E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616E0525"/>
    <w:multiLevelType w:val="hybridMultilevel"/>
    <w:tmpl w:val="FFFCEBF2"/>
    <w:lvl w:ilvl="0">
      <w:start w:val="1"/>
      <w:numFmt w:val="decimalEnclosedCircle"/>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8">
    <w:nsid w:val="64321C7D"/>
    <w:multiLevelType w:val="hybridMultilevel"/>
    <w:tmpl w:val="45402EF4"/>
    <w:lvl w:ilvl="0">
      <w:start w:val="1"/>
      <w:numFmt w:val="decimalEnclosedCircle"/>
      <w:lvlText w:val="%1"/>
      <w:lvlJc w:val="left"/>
      <w:pPr>
        <w:ind w:left="900" w:hanging="360"/>
      </w:pPr>
      <w:rPr>
        <w:rFonts w:hint="default"/>
      </w:rPr>
    </w:lvl>
    <w:lvl w:ilvl="1" w:tentative="1">
      <w:start w:val="1"/>
      <w:numFmt w:val="lowerLetter"/>
      <w:lvlText w:val="%2)"/>
      <w:lvlJc w:val="left"/>
      <w:pPr>
        <w:ind w:left="1380" w:hanging="420"/>
      </w:pPr>
    </w:lvl>
    <w:lvl w:ilvl="2" w:tentative="1">
      <w:start w:val="1"/>
      <w:numFmt w:val="lowerRoman"/>
      <w:lvlText w:val="%3."/>
      <w:lvlJc w:val="right"/>
      <w:pPr>
        <w:ind w:left="1800" w:hanging="420"/>
      </w:pPr>
    </w:lvl>
    <w:lvl w:ilvl="3" w:tentative="1">
      <w:start w:val="1"/>
      <w:numFmt w:val="decimal"/>
      <w:lvlText w:val="%4."/>
      <w:lvlJc w:val="left"/>
      <w:pPr>
        <w:ind w:left="2220" w:hanging="420"/>
      </w:pPr>
    </w:lvl>
    <w:lvl w:ilvl="4" w:tentative="1">
      <w:start w:val="1"/>
      <w:numFmt w:val="lowerLetter"/>
      <w:lvlText w:val="%5)"/>
      <w:lvlJc w:val="left"/>
      <w:pPr>
        <w:ind w:left="2640" w:hanging="420"/>
      </w:pPr>
    </w:lvl>
    <w:lvl w:ilvl="5" w:tentative="1">
      <w:start w:val="1"/>
      <w:numFmt w:val="lowerRoman"/>
      <w:lvlText w:val="%6."/>
      <w:lvlJc w:val="right"/>
      <w:pPr>
        <w:ind w:left="3060" w:hanging="420"/>
      </w:pPr>
    </w:lvl>
    <w:lvl w:ilvl="6" w:tentative="1">
      <w:start w:val="1"/>
      <w:numFmt w:val="decimal"/>
      <w:lvlText w:val="%7."/>
      <w:lvlJc w:val="left"/>
      <w:pPr>
        <w:ind w:left="3480" w:hanging="420"/>
      </w:pPr>
    </w:lvl>
    <w:lvl w:ilvl="7" w:tentative="1">
      <w:start w:val="1"/>
      <w:numFmt w:val="lowerLetter"/>
      <w:lvlText w:val="%8)"/>
      <w:lvlJc w:val="left"/>
      <w:pPr>
        <w:ind w:left="3900" w:hanging="420"/>
      </w:pPr>
    </w:lvl>
    <w:lvl w:ilvl="8" w:tentative="1">
      <w:start w:val="1"/>
      <w:numFmt w:val="lowerRoman"/>
      <w:lvlText w:val="%9."/>
      <w:lvlJc w:val="right"/>
      <w:pPr>
        <w:ind w:left="4320" w:hanging="420"/>
      </w:pPr>
    </w:lvl>
  </w:abstractNum>
  <w:abstractNum w:abstractNumId="9">
    <w:nsid w:val="6F63769C"/>
    <w:multiLevelType w:val="hybridMultilevel"/>
    <w:tmpl w:val="EBB8B166"/>
    <w:lvl w:ilvl="0">
      <w:start w:val="1"/>
      <w:numFmt w:val="decimalEnclosedCircle"/>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8"/>
  </w:num>
  <w:num w:numId="2">
    <w:abstractNumId w:val="7"/>
  </w:num>
  <w:num w:numId="3">
    <w:abstractNumId w:val="5"/>
  </w:num>
  <w:num w:numId="4">
    <w:abstractNumId w:val="1"/>
  </w:num>
  <w:num w:numId="5">
    <w:abstractNumId w:val="9"/>
  </w:num>
  <w:num w:numId="6">
    <w:abstractNumId w:val="0"/>
  </w:num>
  <w:num w:numId="7">
    <w:abstractNumId w:val="2"/>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F490337B-303E-4E2E-9905-12A9EEF1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08A"/>
    <w:pPr>
      <w:widowControl w:val="0"/>
      <w:jc w:val="both"/>
    </w:pPr>
    <w:rPr>
      <w:kern w:val="2"/>
      <w:sz w:val="21"/>
      <w:szCs w:val="24"/>
    </w:rPr>
  </w:style>
  <w:style w:type="paragraph" w:styleId="Heading1">
    <w:name w:val="heading 1"/>
    <w:basedOn w:val="Normal"/>
    <w:next w:val="Normal"/>
    <w:qFormat/>
    <w:rsid w:val="001B6346"/>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B828A5"/>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3"/>
    <w:qFormat/>
    <w:rsid w:val="00B828A5"/>
    <w:pPr>
      <w:keepNext/>
      <w:keepLines/>
      <w:spacing w:before="260" w:after="260" w:line="416" w:lineRule="auto"/>
      <w:outlineLvl w:val="2"/>
    </w:pPr>
    <w:rPr>
      <w:b/>
      <w:bCs/>
      <w:sz w:val="32"/>
      <w:szCs w:val="32"/>
    </w:rPr>
  </w:style>
  <w:style w:type="paragraph" w:styleId="Heading4">
    <w:name w:val="heading 4"/>
    <w:basedOn w:val="Normal"/>
    <w:next w:val="Normal"/>
    <w:link w:val="4"/>
    <w:qFormat/>
    <w:rsid w:val="005011E1"/>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rsid w:val="001B6346"/>
    <w:pPr>
      <w:shd w:val="clear" w:color="auto" w:fill="000080"/>
    </w:pPr>
  </w:style>
  <w:style w:type="paragraph" w:styleId="Footer">
    <w:name w:val="footer"/>
    <w:basedOn w:val="Normal"/>
    <w:link w:val="a1"/>
    <w:rsid w:val="00267135"/>
    <w:pPr>
      <w:tabs>
        <w:tab w:val="center" w:pos="4153"/>
        <w:tab w:val="right" w:pos="8306"/>
      </w:tabs>
      <w:snapToGrid w:val="0"/>
      <w:jc w:val="left"/>
    </w:pPr>
    <w:rPr>
      <w:sz w:val="18"/>
      <w:szCs w:val="18"/>
    </w:rPr>
  </w:style>
  <w:style w:type="character" w:styleId="PageNumber">
    <w:name w:val="page number"/>
    <w:basedOn w:val="DefaultParagraphFont"/>
    <w:rsid w:val="00267135"/>
  </w:style>
  <w:style w:type="paragraph" w:styleId="Header">
    <w:name w:val="header"/>
    <w:basedOn w:val="Normal"/>
    <w:rsid w:val="008D6793"/>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rsid w:val="00615F49"/>
    <w:pPr>
      <w:adjustRightInd w:val="0"/>
      <w:snapToGrid w:val="0"/>
      <w:spacing w:line="360" w:lineRule="auto"/>
      <w:jc w:val="left"/>
    </w:pPr>
    <w:rPr>
      <w:b/>
      <w:bCs/>
      <w:sz w:val="24"/>
      <w:szCs w:val="20"/>
    </w:rPr>
  </w:style>
  <w:style w:type="paragraph" w:styleId="TOC2">
    <w:name w:val="toc 2"/>
    <w:basedOn w:val="Normal"/>
    <w:next w:val="Normal"/>
    <w:rsid w:val="00076EF0"/>
    <w:pPr>
      <w:adjustRightInd w:val="0"/>
      <w:snapToGrid w:val="0"/>
      <w:spacing w:line="360" w:lineRule="auto"/>
      <w:ind w:firstLine="200" w:firstLineChars="200"/>
      <w:jc w:val="left"/>
    </w:pPr>
    <w:rPr>
      <w:iCs/>
      <w:sz w:val="24"/>
      <w:szCs w:val="20"/>
    </w:rPr>
  </w:style>
  <w:style w:type="paragraph" w:styleId="TOC3">
    <w:name w:val="toc 3"/>
    <w:basedOn w:val="Normal"/>
    <w:next w:val="Normal"/>
    <w:rsid w:val="00076EF0"/>
    <w:pPr>
      <w:adjustRightInd w:val="0"/>
      <w:snapToGrid w:val="0"/>
      <w:spacing w:line="360" w:lineRule="auto"/>
      <w:ind w:firstLine="400" w:firstLineChars="400"/>
      <w:jc w:val="left"/>
    </w:pPr>
    <w:rPr>
      <w:sz w:val="24"/>
      <w:szCs w:val="20"/>
    </w:rPr>
  </w:style>
  <w:style w:type="character" w:styleId="Hyperlink">
    <w:name w:val="Hyperlink"/>
    <w:basedOn w:val="DefaultParagraphFont"/>
    <w:rsid w:val="00B92FCB"/>
    <w:rPr>
      <w:color w:val="0000FF"/>
      <w:u w:val="single"/>
    </w:rPr>
  </w:style>
  <w:style w:type="paragraph" w:styleId="TOC4">
    <w:name w:val="toc 4"/>
    <w:basedOn w:val="Normal"/>
    <w:next w:val="Normal"/>
    <w:autoRedefine/>
    <w:rsid w:val="00615F49"/>
    <w:pPr>
      <w:ind w:left="630"/>
      <w:jc w:val="left"/>
    </w:pPr>
    <w:rPr>
      <w:sz w:val="20"/>
      <w:szCs w:val="20"/>
    </w:rPr>
  </w:style>
  <w:style w:type="paragraph" w:styleId="TOC5">
    <w:name w:val="toc 5"/>
    <w:basedOn w:val="Normal"/>
    <w:next w:val="Normal"/>
    <w:autoRedefine/>
    <w:rsid w:val="00615F49"/>
    <w:pPr>
      <w:ind w:left="840"/>
      <w:jc w:val="left"/>
    </w:pPr>
    <w:rPr>
      <w:sz w:val="20"/>
      <w:szCs w:val="20"/>
    </w:rPr>
  </w:style>
  <w:style w:type="paragraph" w:styleId="TOC6">
    <w:name w:val="toc 6"/>
    <w:basedOn w:val="Normal"/>
    <w:next w:val="Normal"/>
    <w:autoRedefine/>
    <w:rsid w:val="00615F49"/>
    <w:pPr>
      <w:ind w:left="1050"/>
      <w:jc w:val="left"/>
    </w:pPr>
    <w:rPr>
      <w:sz w:val="20"/>
      <w:szCs w:val="20"/>
    </w:rPr>
  </w:style>
  <w:style w:type="paragraph" w:styleId="TOC7">
    <w:name w:val="toc 7"/>
    <w:basedOn w:val="Normal"/>
    <w:next w:val="Normal"/>
    <w:autoRedefine/>
    <w:rsid w:val="00615F49"/>
    <w:pPr>
      <w:ind w:left="1260"/>
      <w:jc w:val="left"/>
    </w:pPr>
    <w:rPr>
      <w:sz w:val="20"/>
      <w:szCs w:val="20"/>
    </w:rPr>
  </w:style>
  <w:style w:type="paragraph" w:styleId="TOC8">
    <w:name w:val="toc 8"/>
    <w:basedOn w:val="Normal"/>
    <w:next w:val="Normal"/>
    <w:autoRedefine/>
    <w:rsid w:val="00615F49"/>
    <w:pPr>
      <w:ind w:left="1470"/>
      <w:jc w:val="left"/>
    </w:pPr>
    <w:rPr>
      <w:sz w:val="20"/>
      <w:szCs w:val="20"/>
    </w:rPr>
  </w:style>
  <w:style w:type="paragraph" w:styleId="TOC9">
    <w:name w:val="toc 9"/>
    <w:basedOn w:val="Normal"/>
    <w:next w:val="Normal"/>
    <w:autoRedefine/>
    <w:rsid w:val="00615F49"/>
    <w:pPr>
      <w:ind w:left="1680"/>
      <w:jc w:val="left"/>
    </w:pPr>
    <w:rPr>
      <w:sz w:val="20"/>
      <w:szCs w:val="20"/>
    </w:rPr>
  </w:style>
  <w:style w:type="character" w:customStyle="1" w:styleId="4">
    <w:name w:val="标题 4 字符"/>
    <w:basedOn w:val="DefaultParagraphFont"/>
    <w:link w:val="Heading4"/>
    <w:rsid w:val="005011E1"/>
    <w:rPr>
      <w:rFonts w:ascii="Cambria" w:hAnsi="Cambria"/>
      <w:b/>
      <w:bCs/>
      <w:kern w:val="2"/>
      <w:sz w:val="28"/>
      <w:szCs w:val="28"/>
    </w:rPr>
  </w:style>
  <w:style w:type="paragraph" w:styleId="NoSpacing">
    <w:name w:val="No Spacing"/>
    <w:aliases w:val="No Spacing_0,文字正文"/>
    <w:link w:val="a"/>
    <w:qFormat/>
    <w:rsid w:val="005011E1"/>
    <w:pPr>
      <w:ind w:firstLine="200" w:firstLineChars="200"/>
    </w:pPr>
    <w:rPr>
      <w:rFonts w:eastAsia="仿宋_GB2312"/>
      <w:sz w:val="30"/>
      <w:szCs w:val="22"/>
    </w:rPr>
  </w:style>
  <w:style w:type="character" w:customStyle="1" w:styleId="a">
    <w:name w:val="无间隔 字符"/>
    <w:aliases w:val="No Spacing 字符,文字正文 字符"/>
    <w:link w:val="NoSpacing"/>
    <w:locked/>
    <w:rsid w:val="005011E1"/>
    <w:rPr>
      <w:rFonts w:eastAsia="仿宋_GB2312"/>
      <w:sz w:val="30"/>
      <w:szCs w:val="22"/>
      <w:lang w:bidi="ar-SA"/>
    </w:rPr>
  </w:style>
  <w:style w:type="character" w:customStyle="1" w:styleId="a1">
    <w:name w:val="页脚 字符"/>
    <w:basedOn w:val="DefaultParagraphFont"/>
    <w:link w:val="Footer"/>
    <w:rsid w:val="009E308A"/>
    <w:rPr>
      <w:kern w:val="2"/>
      <w:sz w:val="18"/>
      <w:szCs w:val="18"/>
    </w:rPr>
  </w:style>
  <w:style w:type="paragraph" w:styleId="ListParagraph">
    <w:name w:val="List Paragraph"/>
    <w:basedOn w:val="Normal"/>
    <w:qFormat/>
    <w:rsid w:val="00B4208A"/>
    <w:pPr>
      <w:ind w:firstLine="420" w:firstLineChars="200"/>
    </w:pPr>
  </w:style>
  <w:style w:type="character" w:customStyle="1" w:styleId="3">
    <w:name w:val="标题 3 字符"/>
    <w:basedOn w:val="DefaultParagraphFont"/>
    <w:link w:val="Heading3"/>
    <w:rsid w:val="00B4208A"/>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
    <Relationship Target="settings.xml" Type="http://schemas.openxmlformats.org/officeDocument/2006/relationships/settings" Id="rId1"/>
    <Relationship Target="webSettings.xml" Type="http://schemas.openxmlformats.org/officeDocument/2006/relationships/webSettings" Id="rId2"/>
    <Relationship Target="fontTable.xml" Type="http://schemas.openxmlformats.org/officeDocument/2006/relationships/fontTable" Id="rId3"/>
    <Relationship Target="../customXml/item1.xml" Type="http://schemas.openxmlformats.org/officeDocument/2006/relationships/customXml" Id="rId4"/>
    <Relationship Target="footer1.xml" Type="http://schemas.openxmlformats.org/officeDocument/2006/relationships/footer" Id="rId5"/>
    <Relationship Target="footer2.xml" Type="http://schemas.openxmlformats.org/officeDocument/2006/relationships/footer" Id="rId6"/>
    <Relationship Target="theme/theme1.xml" Type="http://schemas.openxmlformats.org/officeDocument/2006/relationships/theme" Id="rId7"/>
    <Relationship Target="numbering.xml" Type="http://schemas.openxmlformats.org/officeDocument/2006/relationships/numbering" Id="rId8"/>
    <Relationship Target="styles.xml" Type="http://schemas.openxmlformats.org/officeDocument/2006/relationships/styles"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22</Words>
  <Characters>130</Characters>
  <Application>Microsoft Office Word</Application>
  <DocSecurity>0</DocSecurity>
  <Lines>1</Lines>
  <Paragraphs>1</Paragraphs>
  <ScaleCrop>false</ScaleCrop>
  <Company>微软中国</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东 杨</cp:lastModifiedBy>
  <cp:revision>18</cp:revision>
  <cp:lastPrinted>2021-04-16T00:45:00Z</cp:lastPrinted>
  <dcterms:created xsi:type="dcterms:W3CDTF">2022-03-23T12:40:00Z</dcterms:created>
  <dcterms:modified xsi:type="dcterms:W3CDTF">2022-08-10T09:50:00Z</dcterms:modified>
</cp:coreProperties>
</file>